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8442253" w14:textId="389CAF64" w:rsidR="00AC41F8" w:rsidRPr="00AC41F8" w:rsidRDefault="000E6BDE" w:rsidP="00AC41F8">
      <w:pPr>
        <w:pStyle w:val="Tituldatum"/>
        <w:rPr>
          <w:b/>
          <w:sz w:val="36"/>
          <w:highlight w:val="green"/>
        </w:rPr>
      </w:pPr>
      <w:sdt>
        <w:sdtPr>
          <w:rPr>
            <w:b/>
            <w:sz w:val="36"/>
          </w:rPr>
          <w:alias w:val="Název akce - Vypsat pole, přenese se do zápatí"/>
          <w:tag w:val="Název akce"/>
          <w:id w:val="1889687308"/>
          <w:placeholder>
            <w:docPart w:val="AEEF0E51FF3443268007CA0255E7F1BD"/>
          </w:placeholder>
          <w:text w:multiLine="1"/>
        </w:sdtPr>
        <w:sdtEndPr/>
        <w:sdtContent>
          <w:r w:rsidR="004351ED" w:rsidRPr="004351ED">
            <w:rPr>
              <w:b/>
              <w:sz w:val="36"/>
            </w:rPr>
            <w:t>Oprava trati v úseku Újezdec u Luhačovic – Luhačovice</w:t>
          </w:r>
        </w:sdtContent>
      </w:sdt>
    </w:p>
    <w:p w14:paraId="6ADE4F68" w14:textId="77777777" w:rsidR="00BF54FE" w:rsidRPr="00D61BB3" w:rsidRDefault="00BF54FE" w:rsidP="006C2343">
      <w:pPr>
        <w:pStyle w:val="Tituldatum"/>
        <w:rPr>
          <w:rStyle w:val="Nzevakce"/>
        </w:rPr>
      </w:pPr>
    </w:p>
    <w:p w14:paraId="6D99332D" w14:textId="7AD30100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11619D3" w:rsidR="00826B7B" w:rsidRPr="006C2343" w:rsidRDefault="006C2343" w:rsidP="006C2343">
      <w:pPr>
        <w:pStyle w:val="Tituldatum"/>
      </w:pPr>
      <w:r w:rsidRPr="00C23F3B">
        <w:t xml:space="preserve">Datum vydání: </w:t>
      </w:r>
      <w:r w:rsidRPr="00C23F3B">
        <w:tab/>
      </w:r>
      <w:r w:rsidR="00C23F3B" w:rsidRPr="00C23F3B">
        <w:t>14. 8. 2023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0DD470B9" w14:textId="70ECA3F5" w:rsidR="0059559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3854336" w:history="1">
        <w:r w:rsidR="0059559F" w:rsidRPr="00680179">
          <w:rPr>
            <w:rStyle w:val="Hypertextovodkaz"/>
          </w:rPr>
          <w:t>SEZNAM ZKRATEK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_Toc143854336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2</w:t>
        </w:r>
        <w:r w:rsidR="0059559F">
          <w:rPr>
            <w:noProof/>
            <w:webHidden/>
          </w:rPr>
          <w:fldChar w:fldCharType="end"/>
        </w:r>
      </w:hyperlink>
    </w:p>
    <w:p w14:paraId="29F534D0" w14:textId="18AF8073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37" w:history="1">
        <w:r w:rsidR="0059559F" w:rsidRPr="00680179">
          <w:rPr>
            <w:rStyle w:val="Hypertextovodkaz"/>
          </w:rPr>
          <w:t>Pojmy a definice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_Toc143854337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3</w:t>
        </w:r>
        <w:r w:rsidR="0059559F">
          <w:rPr>
            <w:noProof/>
            <w:webHidden/>
          </w:rPr>
          <w:fldChar w:fldCharType="end"/>
        </w:r>
      </w:hyperlink>
    </w:p>
    <w:p w14:paraId="3EF7CD9B" w14:textId="02002E5B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38" w:history="1">
        <w:r w:rsidR="0059559F" w:rsidRPr="00680179">
          <w:rPr>
            <w:rStyle w:val="Hypertextovodkaz"/>
          </w:rPr>
          <w:t>1.</w:t>
        </w:r>
        <w:r w:rsidR="0059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SPECIFIKACE PŘEDMĚTU DÍLA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_Toc143854338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4</w:t>
        </w:r>
        <w:r w:rsidR="0059559F">
          <w:rPr>
            <w:noProof/>
            <w:webHidden/>
          </w:rPr>
          <w:fldChar w:fldCharType="end"/>
        </w:r>
      </w:hyperlink>
    </w:p>
    <w:p w14:paraId="43977612" w14:textId="25A02F95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39" w:history="1">
        <w:r w:rsidR="0059559F" w:rsidRPr="00680179">
          <w:rPr>
            <w:rStyle w:val="Hypertextovodkaz"/>
            <w:rFonts w:asciiTheme="majorHAnsi" w:hAnsiTheme="majorHAnsi"/>
          </w:rPr>
          <w:t>1.1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Účel a rozsah předmětu Díla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_Toc143854339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4</w:t>
        </w:r>
        <w:r w:rsidR="0059559F">
          <w:rPr>
            <w:noProof/>
            <w:webHidden/>
          </w:rPr>
          <w:fldChar w:fldCharType="end"/>
        </w:r>
      </w:hyperlink>
    </w:p>
    <w:p w14:paraId="24996450" w14:textId="4D8B117C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0" w:history="1">
        <w:r w:rsidR="0059559F" w:rsidRPr="00680179">
          <w:rPr>
            <w:rStyle w:val="Hypertextovodkaz"/>
            <w:rFonts w:asciiTheme="majorHAnsi" w:hAnsiTheme="majorHAnsi"/>
          </w:rPr>
          <w:t>1.2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Umístění stavby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_Toc143854340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4</w:t>
        </w:r>
        <w:r w:rsidR="0059559F">
          <w:rPr>
            <w:noProof/>
            <w:webHidden/>
          </w:rPr>
          <w:fldChar w:fldCharType="end"/>
        </w:r>
      </w:hyperlink>
    </w:p>
    <w:p w14:paraId="2BAA0763" w14:textId="0F7A7D82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1" w:history="1">
        <w:r w:rsidR="0059559F" w:rsidRPr="00680179">
          <w:rPr>
            <w:rStyle w:val="Hypertextovodkaz"/>
          </w:rPr>
          <w:t>2.</w:t>
        </w:r>
        <w:r w:rsidR="0059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PŘEHLED VÝCHOZÍCH PODKLADŮ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_Toc143854341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4</w:t>
        </w:r>
        <w:r w:rsidR="0059559F">
          <w:rPr>
            <w:noProof/>
            <w:webHidden/>
          </w:rPr>
          <w:fldChar w:fldCharType="end"/>
        </w:r>
      </w:hyperlink>
    </w:p>
    <w:p w14:paraId="34EA2EE4" w14:textId="09A7C632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2" w:history="1">
        <w:r w:rsidR="0059559F" w:rsidRPr="00680179">
          <w:rPr>
            <w:rStyle w:val="Hypertextovodkaz"/>
            <w:rFonts w:asciiTheme="majorHAnsi" w:hAnsiTheme="majorHAnsi"/>
          </w:rPr>
          <w:t>2.1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Projektová dokumentace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_Toc143854342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4</w:t>
        </w:r>
        <w:r w:rsidR="0059559F">
          <w:rPr>
            <w:noProof/>
            <w:webHidden/>
          </w:rPr>
          <w:fldChar w:fldCharType="end"/>
        </w:r>
      </w:hyperlink>
    </w:p>
    <w:p w14:paraId="1715B713" w14:textId="2FDAB083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3" w:history="1">
        <w:r w:rsidR="0059559F" w:rsidRPr="00680179">
          <w:rPr>
            <w:rStyle w:val="Hypertextovodkaz"/>
            <w:rFonts w:asciiTheme="majorHAnsi" w:hAnsiTheme="majorHAnsi"/>
          </w:rPr>
          <w:t>2.2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Související dokumentace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_Toc143854343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4</w:t>
        </w:r>
        <w:r w:rsidR="0059559F">
          <w:rPr>
            <w:noProof/>
            <w:webHidden/>
          </w:rPr>
          <w:fldChar w:fldCharType="end"/>
        </w:r>
      </w:hyperlink>
    </w:p>
    <w:p w14:paraId="371D0A00" w14:textId="6879DEA4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4" w:history="1">
        <w:r w:rsidR="0059559F" w:rsidRPr="00680179">
          <w:rPr>
            <w:rStyle w:val="Hypertextovodkaz"/>
          </w:rPr>
          <w:t>3.</w:t>
        </w:r>
        <w:r w:rsidR="0059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KOORDINACE S JINÝMI STAVBAMI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_Toc143854344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4</w:t>
        </w:r>
        <w:r w:rsidR="0059559F">
          <w:rPr>
            <w:noProof/>
            <w:webHidden/>
          </w:rPr>
          <w:fldChar w:fldCharType="end"/>
        </w:r>
      </w:hyperlink>
    </w:p>
    <w:p w14:paraId="70158162" w14:textId="1D4BB954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5" w:history="1">
        <w:r w:rsidR="0059559F" w:rsidRPr="00680179">
          <w:rPr>
            <w:rStyle w:val="Hypertextovodkaz"/>
          </w:rPr>
          <w:t>4.</w:t>
        </w:r>
        <w:r w:rsidR="0059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Zvláštní TECHNICKÉ podmímky a požadavky na PROVEDENÍ DÍLA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_Toc143854345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5</w:t>
        </w:r>
        <w:r w:rsidR="0059559F">
          <w:rPr>
            <w:noProof/>
            <w:webHidden/>
          </w:rPr>
          <w:fldChar w:fldCharType="end"/>
        </w:r>
      </w:hyperlink>
    </w:p>
    <w:p w14:paraId="04116F36" w14:textId="19213384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6" w:history="1">
        <w:r w:rsidR="0059559F" w:rsidRPr="00680179">
          <w:rPr>
            <w:rStyle w:val="Hypertextovodkaz"/>
            <w:rFonts w:asciiTheme="majorHAnsi" w:hAnsiTheme="majorHAnsi"/>
          </w:rPr>
          <w:t>4.1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Všeobecně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_Toc143854346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5</w:t>
        </w:r>
        <w:r w:rsidR="0059559F">
          <w:rPr>
            <w:noProof/>
            <w:webHidden/>
          </w:rPr>
          <w:fldChar w:fldCharType="end"/>
        </w:r>
      </w:hyperlink>
    </w:p>
    <w:p w14:paraId="2BE41F98" w14:textId="69DE5D2D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7" w:history="1">
        <w:r w:rsidR="0059559F" w:rsidRPr="00680179">
          <w:rPr>
            <w:rStyle w:val="Hypertextovodkaz"/>
            <w:rFonts w:asciiTheme="majorHAnsi" w:hAnsiTheme="majorHAnsi"/>
          </w:rPr>
          <w:t>4.2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Zeměměřická činnost zhotovitele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_Toc143854347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10</w:t>
        </w:r>
        <w:r w:rsidR="0059559F">
          <w:rPr>
            <w:noProof/>
            <w:webHidden/>
          </w:rPr>
          <w:fldChar w:fldCharType="end"/>
        </w:r>
      </w:hyperlink>
    </w:p>
    <w:p w14:paraId="699CCDCD" w14:textId="0D805024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8" w:history="1">
        <w:r w:rsidR="0059559F" w:rsidRPr="00680179">
          <w:rPr>
            <w:rStyle w:val="Hypertextovodkaz"/>
            <w:rFonts w:asciiTheme="majorHAnsi" w:hAnsiTheme="majorHAnsi"/>
          </w:rPr>
          <w:t>4.3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Doklady předkládané zhotovitelem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_Toc143854348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11</w:t>
        </w:r>
        <w:r w:rsidR="0059559F">
          <w:rPr>
            <w:noProof/>
            <w:webHidden/>
          </w:rPr>
          <w:fldChar w:fldCharType="end"/>
        </w:r>
      </w:hyperlink>
    </w:p>
    <w:p w14:paraId="3F902B88" w14:textId="6796DC20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49" w:history="1">
        <w:r w:rsidR="0059559F" w:rsidRPr="00680179">
          <w:rPr>
            <w:rStyle w:val="Hypertextovodkaz"/>
            <w:rFonts w:asciiTheme="majorHAnsi" w:hAnsiTheme="majorHAnsi"/>
          </w:rPr>
          <w:t>4.4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Dokumentace zhotovitele pro stavbu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_Toc143854349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12</w:t>
        </w:r>
        <w:r w:rsidR="0059559F">
          <w:rPr>
            <w:noProof/>
            <w:webHidden/>
          </w:rPr>
          <w:fldChar w:fldCharType="end"/>
        </w:r>
      </w:hyperlink>
    </w:p>
    <w:p w14:paraId="18E2D620" w14:textId="03D43A1D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0" w:history="1">
        <w:r w:rsidR="0059559F" w:rsidRPr="00680179">
          <w:rPr>
            <w:rStyle w:val="Hypertextovodkaz"/>
            <w:rFonts w:asciiTheme="majorHAnsi" w:hAnsiTheme="majorHAnsi"/>
          </w:rPr>
          <w:t>4.5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Dokumentace skutečného provedení stavby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_Toc143854350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12</w:t>
        </w:r>
        <w:r w:rsidR="0059559F">
          <w:rPr>
            <w:noProof/>
            <w:webHidden/>
          </w:rPr>
          <w:fldChar w:fldCharType="end"/>
        </w:r>
      </w:hyperlink>
    </w:p>
    <w:p w14:paraId="513D5BAC" w14:textId="582BC41F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1" w:history="1">
        <w:r w:rsidR="0059559F" w:rsidRPr="00680179">
          <w:rPr>
            <w:rStyle w:val="Hypertextovodkaz"/>
            <w:rFonts w:asciiTheme="majorHAnsi" w:hAnsiTheme="majorHAnsi"/>
          </w:rPr>
          <w:t>4.6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Zabezpečovací zařízení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_Toc143854351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12</w:t>
        </w:r>
        <w:r w:rsidR="0059559F">
          <w:rPr>
            <w:noProof/>
            <w:webHidden/>
          </w:rPr>
          <w:fldChar w:fldCharType="end"/>
        </w:r>
      </w:hyperlink>
    </w:p>
    <w:p w14:paraId="39F2AB5A" w14:textId="0A33598E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2" w:history="1">
        <w:r w:rsidR="0059559F" w:rsidRPr="00680179">
          <w:rPr>
            <w:rStyle w:val="Hypertextovodkaz"/>
            <w:rFonts w:asciiTheme="majorHAnsi" w:hAnsiTheme="majorHAnsi"/>
          </w:rPr>
          <w:t>4.7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Železniční svršek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_Toc143854352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12</w:t>
        </w:r>
        <w:r w:rsidR="0059559F">
          <w:rPr>
            <w:noProof/>
            <w:webHidden/>
          </w:rPr>
          <w:fldChar w:fldCharType="end"/>
        </w:r>
      </w:hyperlink>
    </w:p>
    <w:p w14:paraId="2DA47BAE" w14:textId="494FACB7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3" w:history="1">
        <w:r w:rsidR="0059559F" w:rsidRPr="00680179">
          <w:rPr>
            <w:rStyle w:val="Hypertextovodkaz"/>
            <w:rFonts w:asciiTheme="majorHAnsi" w:hAnsiTheme="majorHAnsi"/>
          </w:rPr>
          <w:t>4.8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Železniční přejezdy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_Toc143854353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13</w:t>
        </w:r>
        <w:r w:rsidR="0059559F">
          <w:rPr>
            <w:noProof/>
            <w:webHidden/>
          </w:rPr>
          <w:fldChar w:fldCharType="end"/>
        </w:r>
      </w:hyperlink>
    </w:p>
    <w:p w14:paraId="1A298FD7" w14:textId="004C440E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4" w:history="1">
        <w:r w:rsidR="0059559F" w:rsidRPr="00680179">
          <w:rPr>
            <w:rStyle w:val="Hypertextovodkaz"/>
            <w:rFonts w:asciiTheme="majorHAnsi" w:hAnsiTheme="majorHAnsi"/>
          </w:rPr>
          <w:t>4.9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V rámci akce bude zasaženo do těchto přejezdů: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_Toc143854354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13</w:t>
        </w:r>
        <w:r w:rsidR="0059559F">
          <w:rPr>
            <w:noProof/>
            <w:webHidden/>
          </w:rPr>
          <w:fldChar w:fldCharType="end"/>
        </w:r>
      </w:hyperlink>
    </w:p>
    <w:p w14:paraId="477FE579" w14:textId="5CD08D3E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5" w:history="1">
        <w:r w:rsidR="0059559F" w:rsidRPr="00680179">
          <w:rPr>
            <w:rStyle w:val="Hypertextovodkaz"/>
            <w:rFonts w:asciiTheme="majorHAnsi" w:hAnsiTheme="majorHAnsi"/>
          </w:rPr>
          <w:t>4.10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Životní prostředí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_Toc143854355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14</w:t>
        </w:r>
        <w:r w:rsidR="0059559F">
          <w:rPr>
            <w:noProof/>
            <w:webHidden/>
          </w:rPr>
          <w:fldChar w:fldCharType="end"/>
        </w:r>
      </w:hyperlink>
    </w:p>
    <w:p w14:paraId="10933FE8" w14:textId="394058D9" w:rsidR="0059559F" w:rsidRDefault="000E6BD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6" w:history="1">
        <w:r w:rsidR="0059559F" w:rsidRPr="00680179">
          <w:rPr>
            <w:rStyle w:val="Hypertextovodkaz"/>
            <w:rFonts w:asciiTheme="majorHAnsi" w:hAnsiTheme="majorHAnsi"/>
          </w:rPr>
          <w:t>4.11</w:t>
        </w:r>
        <w:r w:rsidR="0059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Materiál dodávaný objednatelem (mimo CNM)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_Toc143854356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14</w:t>
        </w:r>
        <w:r w:rsidR="0059559F">
          <w:rPr>
            <w:noProof/>
            <w:webHidden/>
          </w:rPr>
          <w:fldChar w:fldCharType="end"/>
        </w:r>
      </w:hyperlink>
    </w:p>
    <w:p w14:paraId="7C075ECD" w14:textId="28EAA1A1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7" w:history="1">
        <w:r w:rsidR="0059559F" w:rsidRPr="00680179">
          <w:rPr>
            <w:rStyle w:val="Hypertextovodkaz"/>
          </w:rPr>
          <w:t>5.</w:t>
        </w:r>
        <w:r w:rsidR="0059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ORGANIZACE VÝSTAVBY, VÝLUKY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_Toc143854357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14</w:t>
        </w:r>
        <w:r w:rsidR="0059559F">
          <w:rPr>
            <w:noProof/>
            <w:webHidden/>
          </w:rPr>
          <w:fldChar w:fldCharType="end"/>
        </w:r>
      </w:hyperlink>
    </w:p>
    <w:p w14:paraId="41CCCF2A" w14:textId="6FBBB75E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8" w:history="1">
        <w:r w:rsidR="0059559F" w:rsidRPr="00680179">
          <w:rPr>
            <w:rStyle w:val="Hypertextovodkaz"/>
          </w:rPr>
          <w:t>6.</w:t>
        </w:r>
        <w:r w:rsidR="0059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SOUVISEJÍCÍ DOKUMENTY A PŘEDPISY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_Toc143854358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14</w:t>
        </w:r>
        <w:r w:rsidR="0059559F">
          <w:rPr>
            <w:noProof/>
            <w:webHidden/>
          </w:rPr>
          <w:fldChar w:fldCharType="end"/>
        </w:r>
      </w:hyperlink>
    </w:p>
    <w:p w14:paraId="69345F4A" w14:textId="62B1F518" w:rsidR="0059559F" w:rsidRDefault="000E6BD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3854359" w:history="1">
        <w:r w:rsidR="0059559F" w:rsidRPr="00680179">
          <w:rPr>
            <w:rStyle w:val="Hypertextovodkaz"/>
          </w:rPr>
          <w:t>7.</w:t>
        </w:r>
        <w:r w:rsidR="0059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59559F" w:rsidRPr="00680179">
          <w:rPr>
            <w:rStyle w:val="Hypertextovodkaz"/>
          </w:rPr>
          <w:t>PŘÍLOHY</w:t>
        </w:r>
        <w:r w:rsidR="0059559F">
          <w:rPr>
            <w:noProof/>
            <w:webHidden/>
          </w:rPr>
          <w:tab/>
        </w:r>
        <w:r w:rsidR="0059559F">
          <w:rPr>
            <w:noProof/>
            <w:webHidden/>
          </w:rPr>
          <w:fldChar w:fldCharType="begin"/>
        </w:r>
        <w:r w:rsidR="0059559F">
          <w:rPr>
            <w:noProof/>
            <w:webHidden/>
          </w:rPr>
          <w:instrText xml:space="preserve"> PAGEREF _Toc143854359 \h </w:instrText>
        </w:r>
        <w:r w:rsidR="0059559F">
          <w:rPr>
            <w:noProof/>
            <w:webHidden/>
          </w:rPr>
        </w:r>
        <w:r w:rsidR="0059559F">
          <w:rPr>
            <w:noProof/>
            <w:webHidden/>
          </w:rPr>
          <w:fldChar w:fldCharType="separate"/>
        </w:r>
        <w:r w:rsidR="0059559F">
          <w:rPr>
            <w:noProof/>
            <w:webHidden/>
          </w:rPr>
          <w:t>15</w:t>
        </w:r>
        <w:r w:rsidR="0059559F">
          <w:rPr>
            <w:noProof/>
            <w:webHidden/>
          </w:rPr>
          <w:fldChar w:fldCharType="end"/>
        </w:r>
      </w:hyperlink>
    </w:p>
    <w:p w14:paraId="30D8D7FD" w14:textId="19387C57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43854336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9559F" w:rsidRPr="00AD0C7B" w14:paraId="3C185DB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44094" w14:textId="446A74A1" w:rsidR="0059559F" w:rsidRDefault="0059559F" w:rsidP="0059559F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1E43B5" w14:textId="43092A3E" w:rsidR="0059559F" w:rsidRDefault="0059559F" w:rsidP="0059559F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59559F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59559F" w:rsidRPr="00AD0C7B" w:rsidRDefault="0059559F" w:rsidP="0059559F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59559F" w:rsidRPr="006115D3" w:rsidRDefault="0059559F" w:rsidP="0059559F">
            <w:pPr>
              <w:pStyle w:val="Zkratky2"/>
            </w:pPr>
            <w:r>
              <w:t>Opravné a údržbové akce</w:t>
            </w:r>
          </w:p>
        </w:tc>
      </w:tr>
      <w:tr w:rsidR="0059559F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59559F" w:rsidRPr="00AD0C7B" w:rsidRDefault="0059559F" w:rsidP="0059559F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59559F" w:rsidRPr="00F92E3A" w:rsidRDefault="0059559F" w:rsidP="0059559F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59559F" w:rsidRPr="006115D3" w:rsidRDefault="0059559F" w:rsidP="0059559F">
            <w:pPr>
              <w:pStyle w:val="Zkratky2"/>
            </w:pPr>
          </w:p>
        </w:tc>
      </w:tr>
      <w:tr w:rsidR="0059559F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59559F" w:rsidRPr="00AD0C7B" w:rsidRDefault="0059559F" w:rsidP="0059559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59559F" w:rsidRPr="006115D3" w:rsidRDefault="0059559F" w:rsidP="0059559F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43854337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273CCA8" w14:textId="77777777" w:rsidR="0059559F" w:rsidRPr="005D336A" w:rsidRDefault="0059559F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1F7F10BD" w14:textId="77777777" w:rsidR="0059559F" w:rsidRPr="00F606EE" w:rsidRDefault="0059559F" w:rsidP="0059559F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8B1F5FA" w14:textId="77777777" w:rsidR="0059559F" w:rsidRPr="005D336A" w:rsidRDefault="0059559F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0E36776D" w14:textId="77777777" w:rsidR="0059559F" w:rsidRPr="00F606EE" w:rsidRDefault="0059559F" w:rsidP="0059559F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5A9050E3" w14:textId="77777777" w:rsidR="0059559F" w:rsidRPr="000049FE" w:rsidRDefault="0059559F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6D7BE875" w14:textId="77777777" w:rsidR="0059559F" w:rsidRPr="00F92E3A" w:rsidRDefault="0059559F" w:rsidP="0059559F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4591C218" w14:textId="77777777" w:rsidR="0059559F" w:rsidRPr="000049FE" w:rsidRDefault="0059559F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049FE">
        <w:rPr>
          <w:b/>
          <w:sz w:val="18"/>
          <w:szCs w:val="18"/>
        </w:rPr>
        <w:t>Technický dozor stavebníka</w:t>
      </w:r>
      <w:r w:rsidRPr="000049FE">
        <w:rPr>
          <w:sz w:val="18"/>
          <w:szCs w:val="18"/>
        </w:rPr>
        <w:t xml:space="preserve"> (TDS) – Objednatel se zavazuje u staveb financovaných z veřejného rozpočtu, které provádí Zhotovitel, zajistit technický dozor stavebníka (dále jen „TDS“) nad prováděním Díla dle § 152 odst. (4) zákona č. 183/2006 Sb. Funkce technický dozor stavebníka není totožná s funkcí stavební dozor dle § 2 odst. (2) písm. d) stavebního zákona.</w:t>
      </w:r>
    </w:p>
    <w:p w14:paraId="03CFFAA6" w14:textId="77777777" w:rsidR="0059559F" w:rsidRDefault="0059559F" w:rsidP="0059559F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5CCF634E" w14:textId="77777777" w:rsidR="0059559F" w:rsidRPr="0085534F" w:rsidRDefault="0059559F" w:rsidP="00B24A31">
      <w:pPr>
        <w:pStyle w:val="Odstavecseseznamem"/>
        <w:numPr>
          <w:ilvl w:val="0"/>
          <w:numId w:val="11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1B219F99" w14:textId="77777777" w:rsidR="0059559F" w:rsidRPr="00A16611" w:rsidRDefault="0059559F" w:rsidP="0059559F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3F47883" w14:textId="77777777" w:rsidR="0059559F" w:rsidRDefault="0059559F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Pr="008C3B2B">
        <w:rPr>
          <w:b/>
          <w:sz w:val="18"/>
          <w:szCs w:val="18"/>
        </w:rPr>
        <w:t>Zvláštních technických podmínkách</w:t>
      </w:r>
      <w:r w:rsidRPr="00A774DB">
        <w:rPr>
          <w:sz w:val="18"/>
          <w:szCs w:val="18"/>
        </w:rPr>
        <w:t xml:space="preserve"> </w:t>
      </w:r>
      <w:r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4C021D2" w14:textId="77777777" w:rsidR="0059559F" w:rsidRDefault="0059559F" w:rsidP="0059559F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59DE1BE0" w:rsidR="00A774DB" w:rsidRPr="005D336A" w:rsidRDefault="0059559F" w:rsidP="00B24A3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43854338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43854339"/>
      <w:r>
        <w:t>Účel a rozsah předmětu Díla</w:t>
      </w:r>
      <w:bookmarkEnd w:id="10"/>
      <w:bookmarkEnd w:id="11"/>
    </w:p>
    <w:p w14:paraId="144B4FC2" w14:textId="13110EC4" w:rsidR="00DF7BAA" w:rsidRPr="00C65789" w:rsidRDefault="00DF7BAA" w:rsidP="00AC41F8">
      <w:pPr>
        <w:pStyle w:val="Text2-1"/>
      </w:pPr>
      <w:r w:rsidRPr="00A16611">
        <w:t xml:space="preserve">Předmětem </w:t>
      </w:r>
      <w:r w:rsidR="00AC41F8" w:rsidRPr="00AC41F8">
        <w:t xml:space="preserve">díla je zhotovení stavby „Oprava trati v úseku Újezdec u Luhačovic – </w:t>
      </w:r>
      <w:r w:rsidR="00AC41F8" w:rsidRPr="00C65789">
        <w:t>Luhačovice“ jejímž cílem je odstranění opakujících se závad v rozchodu koleje, odstranění nevyhovujícího stavu kolejového roštu, odstranění kolejnicových styků zřízením BK a oprava GPK a přejezdů k zajištění plynulosti a bezpečnosti železniční dopravy, zvýšení komfortu cestování a zmenšení nákladů na údržbu.</w:t>
      </w:r>
    </w:p>
    <w:p w14:paraId="29AAB0CD" w14:textId="5D098A45" w:rsidR="00E70AB8" w:rsidRPr="00C65789" w:rsidRDefault="00A16611" w:rsidP="00AC41F8">
      <w:pPr>
        <w:pStyle w:val="Text2-1"/>
      </w:pPr>
      <w:r w:rsidRPr="00C65789">
        <w:t xml:space="preserve">Rozsah </w:t>
      </w:r>
      <w:r w:rsidR="00AC41F8" w:rsidRPr="00C65789">
        <w:t xml:space="preserve">Díla „Oprava trati v úseku Újezdec u Luhačovic – Luhačovice“ je zhotovení stavby dle </w:t>
      </w:r>
      <w:r w:rsidR="00C65789" w:rsidRPr="00C65789">
        <w:t>popisu uvedeného v čl 4.6 – 4.13 těchto ZTP a dodaných podkladů</w:t>
      </w:r>
      <w:r w:rsidR="00AC41F8" w:rsidRPr="00C65789">
        <w:t>.</w:t>
      </w:r>
    </w:p>
    <w:p w14:paraId="7959D86F" w14:textId="71FD92F6" w:rsidR="00CE2A6B" w:rsidRPr="00C65789" w:rsidRDefault="00CE2A6B" w:rsidP="00517E55">
      <w:pPr>
        <w:pStyle w:val="Text2-1"/>
      </w:pPr>
      <w:r w:rsidRPr="00C65789">
        <w:t>Rozsah Díla je rozdělen do těchto stavebních objektů či provozních souborů:</w:t>
      </w:r>
    </w:p>
    <w:p w14:paraId="5F61B68E" w14:textId="4C774949" w:rsidR="00AC41F8" w:rsidRDefault="00CE2A6B" w:rsidP="00AC41F8">
      <w:pPr>
        <w:pStyle w:val="Text2-1"/>
        <w:numPr>
          <w:ilvl w:val="0"/>
          <w:numId w:val="0"/>
        </w:numPr>
        <w:ind w:left="737"/>
      </w:pPr>
      <w:r w:rsidRPr="00AB5C3F">
        <w:t>SO</w:t>
      </w:r>
      <w:r w:rsidR="00AC41F8" w:rsidRPr="00AB5C3F">
        <w:t xml:space="preserve"> 01</w:t>
      </w:r>
      <w:r w:rsidR="00AC41F8">
        <w:t xml:space="preserve"> Oprava koleje v úseku km 5,876 – 6,700</w:t>
      </w:r>
    </w:p>
    <w:p w14:paraId="42A54545" w14:textId="19CFB220" w:rsidR="00AC41F8" w:rsidRDefault="00AC41F8" w:rsidP="00AC41F8">
      <w:pPr>
        <w:pStyle w:val="Text2-1"/>
        <w:numPr>
          <w:ilvl w:val="0"/>
          <w:numId w:val="0"/>
        </w:numPr>
        <w:ind w:left="737"/>
      </w:pPr>
      <w:r>
        <w:t>SO 02 Oprava koleje v úseku km 8,145 – 9,424</w:t>
      </w:r>
    </w:p>
    <w:p w14:paraId="3FFBD556" w14:textId="2A8AE8A2" w:rsidR="00517E55" w:rsidRPr="0059559F" w:rsidRDefault="00517E55" w:rsidP="0059559F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4C241D9F" w14:textId="7E153557" w:rsidR="0059559F" w:rsidRPr="0059559F" w:rsidRDefault="0059559F" w:rsidP="00B24A31">
      <w:pPr>
        <w:pStyle w:val="Text2-1"/>
      </w:pPr>
      <w:r w:rsidRPr="0059559F">
        <w:t>Stavební práce</w:t>
      </w:r>
      <w:r w:rsidRPr="0059559F">
        <w:rPr>
          <w:i/>
          <w:iCs/>
        </w:rPr>
        <w:t xml:space="preserve"> </w:t>
      </w:r>
      <w:r w:rsidRPr="0059559F">
        <w:t>budou prováděny ve smyslu § 103 Stavebního zákona.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43854340"/>
      <w:r>
        <w:t>Umístění stavby</w:t>
      </w:r>
      <w:bookmarkEnd w:id="12"/>
      <w:bookmarkEnd w:id="13"/>
    </w:p>
    <w:p w14:paraId="4DFE4759" w14:textId="66A6B75C" w:rsidR="006972D4" w:rsidRDefault="00DF7BAA" w:rsidP="005A6C0C">
      <w:pPr>
        <w:pStyle w:val="Text2-1"/>
      </w:pPr>
      <w:r>
        <w:t>Stavba bude probíhat na trati</w:t>
      </w:r>
      <w:r w:rsidR="00AC41F8" w:rsidRPr="00AC41F8">
        <w:t xml:space="preserve"> Újezdec u Luhačovic – Luhačovice</w:t>
      </w:r>
    </w:p>
    <w:p w14:paraId="46BB6011" w14:textId="5956BC0D" w:rsidR="00517E55" w:rsidRPr="00AB5C3F" w:rsidRDefault="00517E55" w:rsidP="00517E55">
      <w:pPr>
        <w:pStyle w:val="Text2-1"/>
        <w:numPr>
          <w:ilvl w:val="0"/>
          <w:numId w:val="0"/>
        </w:numPr>
        <w:ind w:firstLine="709"/>
      </w:pPr>
      <w:r w:rsidRPr="00AB5C3F">
        <w:t>Kraj:</w:t>
      </w:r>
      <w:r w:rsidR="00AC41F8" w:rsidRPr="00AB5C3F">
        <w:t xml:space="preserve"> Zlínský</w:t>
      </w:r>
    </w:p>
    <w:p w14:paraId="50C118F7" w14:textId="268CA6A8" w:rsidR="00517E55" w:rsidRPr="00AB5C3F" w:rsidRDefault="00517E55" w:rsidP="00517E55">
      <w:pPr>
        <w:pStyle w:val="Text2-1"/>
        <w:numPr>
          <w:ilvl w:val="0"/>
          <w:numId w:val="0"/>
        </w:numPr>
        <w:ind w:firstLine="709"/>
      </w:pPr>
      <w:r w:rsidRPr="00AB5C3F">
        <w:t xml:space="preserve">Okres: </w:t>
      </w:r>
      <w:r w:rsidR="00AC41F8" w:rsidRPr="00AB5C3F">
        <w:t>Uherské Hradiště</w:t>
      </w:r>
    </w:p>
    <w:p w14:paraId="2BC5441F" w14:textId="0F9E1571" w:rsidR="00517E55" w:rsidRPr="00AB5C3F" w:rsidRDefault="00517E55" w:rsidP="00517E55">
      <w:pPr>
        <w:pStyle w:val="Text2-1"/>
        <w:numPr>
          <w:ilvl w:val="0"/>
          <w:numId w:val="0"/>
        </w:numPr>
        <w:ind w:firstLine="709"/>
      </w:pPr>
      <w:r w:rsidRPr="00AB5C3F">
        <w:t>Obec:</w:t>
      </w:r>
      <w:r w:rsidR="00AC41F8" w:rsidRPr="00AB5C3F">
        <w:t xml:space="preserve"> Biskupice, Luhačovice</w:t>
      </w:r>
    </w:p>
    <w:p w14:paraId="03957CE5" w14:textId="6FC1C950" w:rsidR="00517E55" w:rsidRPr="00AB5C3F" w:rsidRDefault="00517E55" w:rsidP="00517E55">
      <w:pPr>
        <w:pStyle w:val="Text2-1"/>
        <w:numPr>
          <w:ilvl w:val="0"/>
          <w:numId w:val="0"/>
        </w:numPr>
        <w:ind w:firstLine="709"/>
      </w:pPr>
      <w:r w:rsidRPr="00AB5C3F">
        <w:t xml:space="preserve">TUDU: </w:t>
      </w:r>
      <w:r w:rsidR="00AC41F8" w:rsidRPr="00AB5C3F">
        <w:t>234102</w:t>
      </w:r>
    </w:p>
    <w:p w14:paraId="09F5040D" w14:textId="13724194" w:rsidR="00517E55" w:rsidRPr="00AB5C3F" w:rsidRDefault="00517E55" w:rsidP="00517E55">
      <w:pPr>
        <w:pStyle w:val="Text2-1"/>
        <w:numPr>
          <w:ilvl w:val="0"/>
          <w:numId w:val="0"/>
        </w:numPr>
        <w:ind w:firstLine="709"/>
      </w:pPr>
      <w:r w:rsidRPr="00AB5C3F">
        <w:t xml:space="preserve">Katastrální území: </w:t>
      </w:r>
      <w:r w:rsidR="00AC41F8" w:rsidRPr="00AB5C3F">
        <w:t>Biskupice u Luhačovic [604780]; Luhačovice [585459]</w:t>
      </w:r>
    </w:p>
    <w:p w14:paraId="7F8F0A50" w14:textId="77777777" w:rsidR="002B7DB4" w:rsidRDefault="00517E55" w:rsidP="00517E55">
      <w:pPr>
        <w:pStyle w:val="Text2-1"/>
        <w:numPr>
          <w:ilvl w:val="0"/>
          <w:numId w:val="0"/>
        </w:numPr>
        <w:ind w:firstLine="709"/>
      </w:pPr>
      <w:r w:rsidRPr="00AB5C3F">
        <w:t xml:space="preserve">P.č. dotčeného pozemku: </w:t>
      </w:r>
    </w:p>
    <w:p w14:paraId="53C6F630" w14:textId="77777777" w:rsidR="002B7DB4" w:rsidRDefault="00AC41F8" w:rsidP="002B7DB4">
      <w:pPr>
        <w:pStyle w:val="Odrka1-4"/>
      </w:pPr>
      <w:r w:rsidRPr="00AB5C3F">
        <w:t xml:space="preserve">KÚ Biskupice u Luhačovic: P.č. 965/1; 966; </w:t>
      </w:r>
    </w:p>
    <w:p w14:paraId="691293AA" w14:textId="3577E633" w:rsidR="00517E55" w:rsidRPr="00AB5C3F" w:rsidRDefault="00AC41F8" w:rsidP="002B7DB4">
      <w:pPr>
        <w:pStyle w:val="Odrka1-4"/>
      </w:pPr>
      <w:r w:rsidRPr="00AB5C3F">
        <w:t>KÚ Luhačovice</w:t>
      </w:r>
      <w:r w:rsidR="00AB5C3F" w:rsidRPr="00AB5C3F">
        <w:t xml:space="preserve">: </w:t>
      </w:r>
      <w:r w:rsidR="00AB5C3F" w:rsidRPr="00AB5C3F">
        <w:tab/>
        <w:t>2521/1; 2522; 2523; 2525/2</w:t>
      </w:r>
    </w:p>
    <w:p w14:paraId="4B38DE9B" w14:textId="2BE555B4" w:rsidR="00517E55" w:rsidRPr="00AB5C3F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AB5C3F">
        <w:t xml:space="preserve">Bližší popis: </w:t>
      </w:r>
      <w:r w:rsidR="00AC41F8" w:rsidRPr="00AB5C3F">
        <w:t>jednokolejná neelektrizovaná trať</w:t>
      </w:r>
    </w:p>
    <w:p w14:paraId="2F0403DD" w14:textId="79925CE9" w:rsidR="00DF7BAA" w:rsidRDefault="00517E55" w:rsidP="00517E55">
      <w:pPr>
        <w:pStyle w:val="Text2-1"/>
        <w:numPr>
          <w:ilvl w:val="0"/>
          <w:numId w:val="0"/>
        </w:numPr>
        <w:ind w:firstLine="709"/>
      </w:pPr>
      <w:r w:rsidRPr="00AB5C3F">
        <w:t xml:space="preserve">Zařazení tratě: </w:t>
      </w:r>
      <w:r w:rsidR="00AC41F8" w:rsidRPr="00AB5C3F">
        <w:t>regionální trať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43854341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43854342"/>
      <w:r>
        <w:t>Projektová dokumentace</w:t>
      </w:r>
      <w:bookmarkEnd w:id="16"/>
      <w:bookmarkEnd w:id="17"/>
    </w:p>
    <w:p w14:paraId="02BE1DF7" w14:textId="47A3ED6D" w:rsidR="00615BEC" w:rsidRPr="0059559F" w:rsidRDefault="0059559F" w:rsidP="0002642A">
      <w:pPr>
        <w:pStyle w:val="Text2-1"/>
      </w:pPr>
      <w:r w:rsidRPr="008D440D">
        <w:t>Projektová dokumentace na stavbu není vyhotovena. Její obsah nahrazuj</w:t>
      </w:r>
      <w:r>
        <w:t xml:space="preserve">í informace uvedené v těchto ZTP, </w:t>
      </w:r>
      <w:r w:rsidRPr="008D440D">
        <w:t>Díl 3 Zadávací dokumentace</w:t>
      </w:r>
      <w:r>
        <w:t xml:space="preserve"> a Díl 4 Zadávací dokumentace, </w:t>
      </w:r>
      <w:r w:rsidRPr="0059559F">
        <w:t>případně další části Zadávací dokumentace</w:t>
      </w:r>
      <w:r w:rsidR="00860F4E" w:rsidRPr="0059559F">
        <w:t xml:space="preserve">. </w:t>
      </w:r>
      <w:bookmarkStart w:id="18" w:name="_Hlk121215263"/>
    </w:p>
    <w:p w14:paraId="5F4C060E" w14:textId="6683E2E9" w:rsidR="00C23F3B" w:rsidRPr="0059559F" w:rsidRDefault="00D169FC" w:rsidP="00C23F3B">
      <w:pPr>
        <w:pStyle w:val="Text2-1"/>
      </w:pPr>
      <w:r w:rsidRPr="0059559F">
        <w:t xml:space="preserve">Pro opravu je vyhotoven </w:t>
      </w:r>
      <w:r w:rsidR="0059559F" w:rsidRPr="0059559F">
        <w:t xml:space="preserve">pouze </w:t>
      </w:r>
      <w:r w:rsidRPr="0059559F">
        <w:t>projekt osy koleje vypracovaný</w:t>
      </w:r>
      <w:r w:rsidR="0059559F" w:rsidRPr="0059559F">
        <w:t xml:space="preserve"> organizační jednotkou zadavatele (</w:t>
      </w:r>
      <w:r w:rsidRPr="0059559F">
        <w:t xml:space="preserve">SŽG </w:t>
      </w:r>
      <w:r w:rsidR="00C23F3B" w:rsidRPr="0059559F">
        <w:t>Olomouc</w:t>
      </w:r>
      <w:r w:rsidR="0059559F" w:rsidRPr="0059559F">
        <w:t>).</w:t>
      </w:r>
      <w:r w:rsidR="00C23F3B" w:rsidRPr="0059559F">
        <w:t xml:space="preserve"> Projekt bude předán vybranému dodavateli před zahájením stavby.</w:t>
      </w:r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43854343"/>
      <w:bookmarkEnd w:id="18"/>
      <w:r w:rsidRPr="00860F4E">
        <w:t>Související dokumentace</w:t>
      </w:r>
      <w:bookmarkEnd w:id="19"/>
      <w:bookmarkEnd w:id="20"/>
    </w:p>
    <w:p w14:paraId="6F27E273" w14:textId="16732704" w:rsidR="001D35FE" w:rsidRPr="008975AC" w:rsidRDefault="008170FD" w:rsidP="00AB5C3F">
      <w:pPr>
        <w:pStyle w:val="Text2-1"/>
      </w:pPr>
      <w:r>
        <w:t xml:space="preserve">Stavba nepodléhá stavebnímu či jinému řízení. </w:t>
      </w: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43854344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0B58AABA" w14:textId="77777777" w:rsidR="0059559F" w:rsidRDefault="0059559F" w:rsidP="00A10D37">
      <w:pPr>
        <w:pStyle w:val="Text2-1"/>
      </w:pPr>
      <w:r w:rsidRPr="00F827DA">
        <w:lastRenderedPageBreak/>
        <w:t>Koordinace musí probíhat zejména s níže uvedenými investicemi, opravnými pracemi či stavbami</w:t>
      </w:r>
      <w:r w:rsidR="00924C7D" w:rsidRPr="00C23F3B">
        <w:t>:</w:t>
      </w:r>
      <w:r w:rsidR="008762D7" w:rsidRPr="00C23F3B">
        <w:t xml:space="preserve"> </w:t>
      </w:r>
    </w:p>
    <w:p w14:paraId="76BB2726" w14:textId="04E75CE6" w:rsidR="00A10D37" w:rsidRPr="00C23F3B" w:rsidRDefault="008762D7" w:rsidP="00B24A31">
      <w:pPr>
        <w:pStyle w:val="Text2-1"/>
        <w:numPr>
          <w:ilvl w:val="0"/>
          <w:numId w:val="13"/>
        </w:numPr>
      </w:pPr>
      <w:r w:rsidRPr="00C23F3B">
        <w:t>Doplnění závor na přejezdu v km 111,590 (P7971) trati Brno – Vlárský průsmyk</w:t>
      </w:r>
      <w:r w:rsidR="0059559F">
        <w:t xml:space="preserve">  (investor: Správa železnic, státní organizace/Stavební správy východ, realizace: </w:t>
      </w:r>
      <w:r w:rsidRPr="00C23F3B">
        <w:t>16. – 25. října 2023</w:t>
      </w:r>
      <w:r w:rsidR="0059559F">
        <w:t>)</w:t>
      </w:r>
      <w:r w:rsidRPr="00C23F3B">
        <w:t>.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43854345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43854346"/>
      <w:r>
        <w:t>Všeobecně</w:t>
      </w:r>
      <w:bookmarkEnd w:id="26"/>
      <w:bookmarkEnd w:id="27"/>
    </w:p>
    <w:p w14:paraId="75EE3467" w14:textId="77777777" w:rsidR="0059559F" w:rsidRDefault="0059559F" w:rsidP="0059559F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4E5D410A" w14:textId="77777777" w:rsidR="0059559F" w:rsidRDefault="0059559F" w:rsidP="0059559F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A94EC94" w14:textId="77777777" w:rsidR="0059559F" w:rsidRPr="003B049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6E44E2B3" w14:textId="77777777" w:rsidR="0059559F" w:rsidRPr="003B049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3B0494">
        <w:t>V čl. 1.7.1 TKP, odst. 1 se doplňuje text „…se zásadami směrnice SŽ SM011</w:t>
      </w:r>
      <w:r>
        <w:t xml:space="preserve"> (Dokumentace staveb Správy železnic, státní organizace)</w:t>
      </w:r>
      <w:r w:rsidRPr="003B0494">
        <w:t xml:space="preserve"> směrnice SŽDC</w:t>
      </w:r>
      <w:r>
        <w:t xml:space="preserve"> </w:t>
      </w:r>
      <w:r w:rsidRPr="003B0494">
        <w:t>č.</w:t>
      </w:r>
      <w:r>
        <w:t> </w:t>
      </w:r>
      <w:r w:rsidRPr="003B0494">
        <w:t>117</w:t>
      </w:r>
      <w:r w:rsidRPr="000258E6">
        <w:t xml:space="preserve"> </w:t>
      </w:r>
      <w:r>
        <w:t>(Předávání digitální dokumentace z investiční výstavby SŽDC)</w:t>
      </w:r>
      <w:r w:rsidRPr="003B0494">
        <w:t xml:space="preserve"> a pokynu GŘ č.</w:t>
      </w:r>
      <w:r>
        <w:t> </w:t>
      </w:r>
      <w:r w:rsidRPr="003B0494">
        <w:t>4/2016</w:t>
      </w:r>
      <w:r>
        <w:t xml:space="preserve"> (Předávání digitální dokumentace a dat mezi SŽDC a externími subjekty)</w:t>
      </w:r>
      <w:r w:rsidRPr="003B0494">
        <w:t xml:space="preserve"> a pokynu GŘ SŽ PO-06/2020-GŘ</w:t>
      </w:r>
      <w:r w:rsidRPr="00F04838">
        <w:t xml:space="preserve"> </w:t>
      </w:r>
      <w:r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63B9CD4F" w14:textId="77777777" w:rsidR="0059559F" w:rsidRPr="003B049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1.7.3.2 TKP, odst. 1 se </w:t>
      </w:r>
      <w:r>
        <w:t>nepoužije.</w:t>
      </w:r>
    </w:p>
    <w:p w14:paraId="6A063945" w14:textId="77777777" w:rsidR="0059559F" w:rsidRPr="003B049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>
        <w:t>nepoužije</w:t>
      </w:r>
      <w:r w:rsidRPr="003B0494">
        <w:t>.</w:t>
      </w:r>
    </w:p>
    <w:p w14:paraId="0BD009A6" w14:textId="77777777" w:rsidR="0059559F" w:rsidRPr="003B049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3B0494">
        <w:t>Čl. 1.7.3.3 TKP, odst. 1 se mění takto:</w:t>
      </w:r>
    </w:p>
    <w:p w14:paraId="470EE944" w14:textId="77777777" w:rsidR="0059559F" w:rsidRDefault="0059559F" w:rsidP="0059559F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217A5E1" w14:textId="77777777" w:rsidR="0059559F" w:rsidRPr="00F23487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F23487">
        <w:t xml:space="preserve">V čl. 1.7.3.5 TKP, odst.1 se mění takto: </w:t>
      </w:r>
    </w:p>
    <w:p w14:paraId="004369DB" w14:textId="77777777" w:rsidR="0059559F" w:rsidRDefault="0059559F" w:rsidP="0059559F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3540A41E" w14:textId="77777777" w:rsidR="0059559F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EB6387">
        <w:t xml:space="preserve">V čl. 1.7.3.5 TKP, se </w:t>
      </w:r>
      <w:r>
        <w:t>nepoužij</w:t>
      </w:r>
      <w:r w:rsidRPr="00EB6387">
        <w:t>í odstavce 5 a 6.</w:t>
      </w:r>
    </w:p>
    <w:p w14:paraId="0BE4D72A" w14:textId="77777777" w:rsidR="0059559F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51F13F6" w14:textId="77777777" w:rsidR="0059559F" w:rsidRPr="00F832AA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744DBCED" w14:textId="77777777" w:rsidR="0059559F" w:rsidRPr="00F832AA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6555B3E6" w14:textId="77777777" w:rsidR="0059559F" w:rsidRPr="00F832AA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F832AA">
        <w:t>V čl. 1.9.2 TKP, odst. 3 se mění lhůta z 14 kalendářních dní na 7 kalendářních dní.</w:t>
      </w:r>
    </w:p>
    <w:p w14:paraId="23E37CA9" w14:textId="77777777" w:rsidR="0059559F" w:rsidRPr="00F832AA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F832AA">
        <w:lastRenderedPageBreak/>
        <w:t>V čl. 1.9.2 TKP, odst. 4 v odrážce „body ŽBP“ se ruší text „...v Dokladové části – Geodetický podklad pro projektovou činnost zpracovaný podle jiných právních předpisů…“</w:t>
      </w:r>
    </w:p>
    <w:p w14:paraId="69322DC4" w14:textId="77777777" w:rsidR="0059559F" w:rsidRPr="001A001A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4512B841" w14:textId="77777777" w:rsidR="0059559F" w:rsidRDefault="0059559F" w:rsidP="0059559F">
      <w:pPr>
        <w:pStyle w:val="Text2-2"/>
        <w:tabs>
          <w:tab w:val="clear" w:pos="5076"/>
          <w:tab w:val="num" w:pos="1701"/>
        </w:tabs>
        <w:ind w:left="1701"/>
      </w:pPr>
      <w:r>
        <w:t xml:space="preserve">Čl. 1.9.4 TKP, odst. 2 se mění takto: </w:t>
      </w:r>
    </w:p>
    <w:p w14:paraId="7A337FB5" w14:textId="77777777" w:rsidR="0059559F" w:rsidRPr="00EB6387" w:rsidRDefault="0059559F" w:rsidP="0059559F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24B74AC0" w14:textId="77777777" w:rsidR="0059559F" w:rsidRPr="001A001A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1A001A">
        <w:t>Čl. 1.9.4 TKP, odst.5 se mění takto:</w:t>
      </w:r>
    </w:p>
    <w:p w14:paraId="26BB754D" w14:textId="77777777" w:rsidR="0059559F" w:rsidRDefault="0059559F" w:rsidP="0059559F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008FE4BE" w14:textId="77777777" w:rsidR="0059559F" w:rsidRPr="002E5B8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2B46F15E" w14:textId="77777777" w:rsidR="0059559F" w:rsidRPr="002E5B8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2E5B84">
        <w:t>V čl. 1.10.5.2 TKP, odst. 3 se ruší text „… (zpravidla Stavební správa)“.</w:t>
      </w:r>
    </w:p>
    <w:p w14:paraId="5BA65A4C" w14:textId="77777777" w:rsidR="0059559F" w:rsidRPr="002E5B84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17E2EEF7" w14:textId="77777777" w:rsidR="0059559F" w:rsidRPr="00DF7856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77F63153" w14:textId="77777777" w:rsidR="0059559F" w:rsidRPr="00DF7856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3ACF34D0" w14:textId="77777777" w:rsidR="0059559F" w:rsidRPr="00DF7856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d) se mění počet 4 souprav závěrových tabulek na 3 soupravy závěrových tabulek.</w:t>
      </w:r>
    </w:p>
    <w:p w14:paraId="3A29EC8D" w14:textId="77777777" w:rsidR="0059559F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e) se mění takto:</w:t>
      </w:r>
    </w:p>
    <w:p w14:paraId="7564A0A8" w14:textId="77777777" w:rsidR="0059559F" w:rsidRDefault="0059559F" w:rsidP="0059559F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30743927" w14:textId="77777777" w:rsidR="0059559F" w:rsidRPr="00DF7856" w:rsidRDefault="0059559F" w:rsidP="0059559F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5, se mění lhůta z 45 dnů na 15 dnů</w:t>
      </w:r>
      <w:r>
        <w:t>.</w:t>
      </w:r>
    </w:p>
    <w:p w14:paraId="0704B5B7" w14:textId="75C16B33" w:rsidR="00DF7856" w:rsidRPr="00C2573F" w:rsidRDefault="0059559F" w:rsidP="0059559F">
      <w:pPr>
        <w:pStyle w:val="Text2-2"/>
        <w:ind w:left="1701" w:hanging="99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28632781" w:rsidR="00B24A31" w:rsidRPr="008C4EA5" w:rsidRDefault="00B24A31" w:rsidP="00B24A31">
      <w:pPr>
        <w:pStyle w:val="Text2-2"/>
        <w:ind w:left="1701" w:hanging="992"/>
      </w:pPr>
      <w:r>
        <w:t>neobsazeno</w:t>
      </w:r>
    </w:p>
    <w:p w14:paraId="21938E47" w14:textId="206E38B1" w:rsidR="004C1240" w:rsidRPr="004C1240" w:rsidRDefault="0059559F" w:rsidP="007345FE">
      <w:pPr>
        <w:pStyle w:val="Text2-2"/>
        <w:ind w:left="1701" w:hanging="992"/>
      </w:pPr>
      <w:r>
        <w:t>Čl. 1.11.5.1 TKP, se nepoužijí odstavce 4 a 5.</w:t>
      </w:r>
    </w:p>
    <w:p w14:paraId="34C5FAAF" w14:textId="68FC1F70" w:rsidR="00B24A31" w:rsidRPr="00AB5C3F" w:rsidRDefault="00B24A31" w:rsidP="00B24A31">
      <w:pPr>
        <w:pStyle w:val="Text2-2"/>
        <w:ind w:left="1701" w:hanging="992"/>
      </w:pPr>
      <w:r>
        <w:t>neobsazeno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21B6AB62" w:rsidR="00735BE7" w:rsidRPr="00735F5B" w:rsidRDefault="0059559F" w:rsidP="0059559F">
      <w:pPr>
        <w:pStyle w:val="Text2-1"/>
        <w:tabs>
          <w:tab w:val="clear" w:pos="737"/>
          <w:tab w:val="num" w:pos="0"/>
        </w:tabs>
        <w:ind w:left="709" w:hanging="709"/>
        <w:rPr>
          <w:b/>
        </w:rPr>
      </w:pPr>
      <w:r w:rsidRPr="00172776">
        <w:t>Vzhledem k tomu, že Zadávací dokumentace neobsahuje Všeobecní technické podmínky (VTP), tak odkazy v TKP na VTP jsou odkazem na ZTP.</w:t>
      </w:r>
      <w:r w:rsidR="00735BE7" w:rsidRPr="00735F5B">
        <w:rPr>
          <w:b/>
        </w:rPr>
        <w:t>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 w:rsidRPr="00AB5C3F">
        <w:t>Objednatel se zavazuje zajistit Zhotoviteli právo užívání Staveniště, včetně železniční dopravní cesty, v době, kdy je toho třeba, aby mohl Zhotovitel Dílo dokončit řádně a včas za podmínek</w:t>
      </w:r>
      <w:r>
        <w:t xml:space="preserve">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38FA170A" w14:textId="054FCF0D" w:rsidR="0059559F" w:rsidRDefault="0059559F" w:rsidP="007345FE">
      <w:pPr>
        <w:pStyle w:val="Text2-2"/>
        <w:ind w:left="1701" w:hanging="992"/>
      </w:pPr>
      <w:r>
        <w:t>neobsazeno</w:t>
      </w:r>
    </w:p>
    <w:p w14:paraId="55F9009E" w14:textId="33041D9A" w:rsidR="0059559F" w:rsidRDefault="0059559F" w:rsidP="007345FE">
      <w:pPr>
        <w:pStyle w:val="Text2-2"/>
        <w:ind w:left="1701" w:hanging="992"/>
      </w:pPr>
      <w:r>
        <w:t xml:space="preserve">neobsazeno </w:t>
      </w:r>
    </w:p>
    <w:p w14:paraId="4A5A2314" w14:textId="55B26C85" w:rsidR="00735F5B" w:rsidRDefault="00735F5B" w:rsidP="007345FE">
      <w:pPr>
        <w:pStyle w:val="Text2-2"/>
        <w:ind w:left="1701" w:hanging="992"/>
      </w:pPr>
      <w:r>
        <w:lastRenderedPageBreak/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9C7AA4" w14:textId="6218560B" w:rsidR="0059559F" w:rsidRDefault="0059559F" w:rsidP="007345FE">
      <w:pPr>
        <w:pStyle w:val="Text2-2"/>
        <w:ind w:left="1701" w:hanging="992"/>
      </w:pPr>
      <w:r>
        <w:t>neobsazeno</w:t>
      </w:r>
    </w:p>
    <w:p w14:paraId="35579B1F" w14:textId="70F08AC3" w:rsidR="0059559F" w:rsidRPr="0059559F" w:rsidRDefault="0059559F" w:rsidP="007345FE">
      <w:pPr>
        <w:pStyle w:val="Text2-2"/>
        <w:ind w:left="1701" w:hanging="992"/>
      </w:pPr>
      <w:r>
        <w:t>neobsazeno</w:t>
      </w:r>
    </w:p>
    <w:p w14:paraId="4FB20269" w14:textId="34C715CF" w:rsidR="00AD75BB" w:rsidRPr="00AB5C3F" w:rsidRDefault="00AD75BB" w:rsidP="007345FE">
      <w:pPr>
        <w:pStyle w:val="Text2-2"/>
        <w:ind w:left="1701" w:hanging="992"/>
      </w:pPr>
      <w:r w:rsidRPr="00AB5C3F">
        <w:rPr>
          <w:b/>
        </w:rPr>
        <w:t>K činnostem Zhotovitele v rámci plnění SOD</w:t>
      </w:r>
      <w:r w:rsidRPr="00AB5C3F">
        <w:t xml:space="preserve"> mimo jiné také patří:</w:t>
      </w:r>
    </w:p>
    <w:p w14:paraId="2F12C6AB" w14:textId="77777777" w:rsidR="00F60958" w:rsidRPr="00AB5C3F" w:rsidRDefault="00F60958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AB5C3F" w:rsidRDefault="00F60958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AB5C3F">
        <w:rPr>
          <w:sz w:val="18"/>
          <w:szCs w:val="18"/>
        </w:rPr>
        <w:t xml:space="preserve"> (o</w:t>
      </w:r>
      <w:r w:rsidR="00AA587B" w:rsidRPr="00AB5C3F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AB5C3F" w:rsidRDefault="00F60958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vydání osvědčení o bezpečnosti podle Prováděcího nařízení komise č. 402/2013</w:t>
      </w:r>
      <w:r w:rsidR="00AA587B" w:rsidRPr="00AB5C3F">
        <w:rPr>
          <w:sz w:val="18"/>
          <w:szCs w:val="18"/>
        </w:rPr>
        <w:t xml:space="preserve"> (o společné metodě pro hodnocení a posuzování rizik</w:t>
      </w:r>
      <w:r w:rsidR="00223CF2" w:rsidRPr="00AB5C3F">
        <w:rPr>
          <w:sz w:val="18"/>
          <w:szCs w:val="18"/>
        </w:rPr>
        <w:t xml:space="preserve"> </w:t>
      </w:r>
      <w:r w:rsidR="00AA587B" w:rsidRPr="00AB5C3F">
        <w:rPr>
          <w:sz w:val="18"/>
          <w:szCs w:val="18"/>
        </w:rPr>
        <w:t>a o zrušení nařízení (ES) č.</w:t>
      </w:r>
      <w:r w:rsidR="00223CF2" w:rsidRPr="00AB5C3F">
        <w:rPr>
          <w:sz w:val="18"/>
          <w:szCs w:val="18"/>
        </w:rPr>
        <w:t> 352/2009)</w:t>
      </w:r>
    </w:p>
    <w:p w14:paraId="29DDEBCB" w14:textId="77777777" w:rsidR="00F60958" w:rsidRPr="00AB5C3F" w:rsidRDefault="00F60958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AB5C3F" w:rsidRDefault="009358DC" w:rsidP="007345FE">
      <w:pPr>
        <w:pStyle w:val="Text2-2"/>
        <w:ind w:left="1701" w:hanging="992"/>
      </w:pPr>
      <w:r w:rsidRPr="00AB5C3F">
        <w:t>Zhotovitel je povinen zajistit veřejnoprávní projednání a vydání potřebných rozhodnutí, povolení, souhlasů a jiných opatření</w:t>
      </w:r>
      <w:r w:rsidR="00223CF2" w:rsidRPr="00AB5C3F">
        <w:t>, nad rámec rozhodnutí, povolení, souhlasů zajištěných Objednatelem.</w:t>
      </w:r>
      <w:r w:rsidRPr="00AB5C3F">
        <w:t xml:space="preserve"> Zejména se jedná o:</w:t>
      </w:r>
    </w:p>
    <w:p w14:paraId="5E55C25F" w14:textId="77777777" w:rsidR="009358DC" w:rsidRPr="00AB5C3F" w:rsidRDefault="009358DC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AB5C3F" w:rsidRDefault="009358DC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AB5C3F">
        <w:rPr>
          <w:sz w:val="18"/>
          <w:szCs w:val="18"/>
        </w:rPr>
        <w:t> </w:t>
      </w:r>
      <w:r w:rsidRPr="00AB5C3F">
        <w:rPr>
          <w:sz w:val="18"/>
          <w:szCs w:val="18"/>
        </w:rPr>
        <w:t>13/1997 Sb.</w:t>
      </w:r>
      <w:r w:rsidR="00223CF2" w:rsidRPr="00AB5C3F">
        <w:rPr>
          <w:sz w:val="18"/>
          <w:szCs w:val="18"/>
        </w:rPr>
        <w:t xml:space="preserve"> (o pozemních komunikacích)</w:t>
      </w:r>
      <w:r w:rsidRPr="00AB5C3F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AB5C3F" w:rsidRDefault="009358DC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0A71961" w14:textId="30DC0A3D" w:rsidR="00324E85" w:rsidRPr="00AB5C3F" w:rsidRDefault="009358DC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AB5C3F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Default="00C711EA" w:rsidP="007345FE">
      <w:pPr>
        <w:pStyle w:val="Text2-2"/>
        <w:ind w:left="1701" w:hanging="992"/>
      </w:pPr>
      <w:r w:rsidRPr="00C711EA">
        <w:lastRenderedPageBreak/>
        <w:t>Výkopové práce pro podzemní vedení a zařízení technické infrastruktury se Zhotovitel zavazuje koordinovat s ostatní stavební činností v rámci Staveniště.</w:t>
      </w:r>
    </w:p>
    <w:p w14:paraId="217963A0" w14:textId="41A55508" w:rsidR="0059559F" w:rsidRPr="0020474A" w:rsidRDefault="0059559F" w:rsidP="00B24A31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prací.</w:t>
      </w:r>
    </w:p>
    <w:p w14:paraId="32AE0026" w14:textId="3EA7E2E5" w:rsidR="0059559F" w:rsidRDefault="0059559F" w:rsidP="0059559F">
      <w:pPr>
        <w:pStyle w:val="Text2-2"/>
        <w:ind w:left="1701" w:hanging="99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  <w:r>
        <w:t>.</w:t>
      </w:r>
    </w:p>
    <w:p w14:paraId="1E61FDD8" w14:textId="6FFF91F4" w:rsidR="0059559F" w:rsidRDefault="0059559F" w:rsidP="0059559F">
      <w:pPr>
        <w:pStyle w:val="Text2-2"/>
        <w:ind w:left="1701" w:hanging="992"/>
      </w:pPr>
      <w:r>
        <w:t>neobsazeno</w:t>
      </w:r>
    </w:p>
    <w:p w14:paraId="322E4DD8" w14:textId="57121035" w:rsidR="0059559F" w:rsidRPr="00C711EA" w:rsidRDefault="0059559F" w:rsidP="0059559F">
      <w:pPr>
        <w:pStyle w:val="Text2-2"/>
        <w:ind w:left="1701" w:hanging="992"/>
      </w:pPr>
      <w:r>
        <w:t>neobsazeno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11A842D7" w14:textId="16547F96" w:rsidR="0059559F" w:rsidRPr="00BD583A" w:rsidRDefault="0059559F" w:rsidP="007345FE">
      <w:pPr>
        <w:pStyle w:val="Text2-2"/>
        <w:ind w:left="1701" w:hanging="992"/>
      </w:pPr>
      <w:r>
        <w:t>neobsazeno</w:t>
      </w:r>
    </w:p>
    <w:p w14:paraId="0E1FC6F4" w14:textId="77777777" w:rsid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41FF1BF3" w14:textId="7E1CFC4A" w:rsidR="0059559F" w:rsidRPr="0059559F" w:rsidRDefault="0059559F" w:rsidP="007345FE">
      <w:pPr>
        <w:pStyle w:val="Text2-2"/>
        <w:ind w:left="1701" w:hanging="992"/>
        <w:rPr>
          <w:bCs/>
        </w:rPr>
      </w:pPr>
      <w:r w:rsidRPr="0059559F">
        <w:rPr>
          <w:bCs/>
        </w:rPr>
        <w:t>neobsazeno</w:t>
      </w:r>
    </w:p>
    <w:p w14:paraId="78D5BDDF" w14:textId="2ABF15A2" w:rsidR="0059559F" w:rsidRPr="0059559F" w:rsidRDefault="0059559F" w:rsidP="007345FE">
      <w:pPr>
        <w:pStyle w:val="Text2-2"/>
        <w:ind w:left="1701" w:hanging="992"/>
      </w:pPr>
      <w:r w:rsidRPr="0059559F">
        <w:rPr>
          <w:bCs/>
        </w:rPr>
        <w:t>neobsazeno</w:t>
      </w:r>
    </w:p>
    <w:p w14:paraId="71F622A3" w14:textId="65D6B474" w:rsidR="00744694" w:rsidRDefault="00744694" w:rsidP="007345FE">
      <w:pPr>
        <w:pStyle w:val="Text2-2"/>
        <w:ind w:left="1701" w:hanging="992"/>
      </w:pPr>
      <w:r w:rsidRPr="00A570CF">
        <w:t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ostrohrannost kameniva a zaoblenost hran dle OTP Kamenivo pro kolejové lože železničních drah čj.38992/2020-SŽ-GŘ-O13. Počet a místa odběru zkušebních vzorků určí TDS.</w:t>
      </w:r>
    </w:p>
    <w:p w14:paraId="4C29AE6E" w14:textId="427188B3" w:rsidR="0059559F" w:rsidRPr="00A570CF" w:rsidRDefault="0059559F" w:rsidP="007345FE">
      <w:pPr>
        <w:pStyle w:val="Text2-2"/>
        <w:ind w:left="1701" w:hanging="992"/>
      </w:pPr>
      <w:r>
        <w:t>neobsazeno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B24A31">
      <w:pPr>
        <w:pStyle w:val="Text2-2"/>
        <w:numPr>
          <w:ilvl w:val="4"/>
          <w:numId w:val="9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B24A31">
      <w:pPr>
        <w:pStyle w:val="Text2-2"/>
        <w:numPr>
          <w:ilvl w:val="4"/>
          <w:numId w:val="9"/>
        </w:numPr>
        <w:ind w:left="1701" w:hanging="992"/>
      </w:pPr>
      <w:r w:rsidRPr="008C4EA5">
        <w:lastRenderedPageBreak/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B24A31">
      <w:pPr>
        <w:pStyle w:val="Text2-2"/>
        <w:numPr>
          <w:ilvl w:val="4"/>
          <w:numId w:val="9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B24A31">
      <w:pPr>
        <w:pStyle w:val="Odstavecseseznamem"/>
        <w:numPr>
          <w:ilvl w:val="4"/>
          <w:numId w:val="9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B24A31">
      <w:pPr>
        <w:pStyle w:val="Text2-2"/>
        <w:numPr>
          <w:ilvl w:val="4"/>
          <w:numId w:val="9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15C2BB96" w:rsidR="00FD0503" w:rsidRPr="008C4EA5" w:rsidRDefault="00B24A31" w:rsidP="007345FE">
      <w:pPr>
        <w:pStyle w:val="Text2-2"/>
        <w:ind w:left="1701" w:hanging="992"/>
      </w:pPr>
      <w:r>
        <w:t>neobsazeno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15A4C431" w:rsidR="00FD0503" w:rsidRPr="00B24A31" w:rsidRDefault="00B24A31" w:rsidP="007345FE">
      <w:pPr>
        <w:pStyle w:val="Text2-2"/>
        <w:ind w:left="1701" w:hanging="992"/>
        <w:rPr>
          <w:bCs/>
        </w:rPr>
      </w:pPr>
      <w:r w:rsidRPr="00B24A31">
        <w:rPr>
          <w:bCs/>
        </w:rPr>
        <w:t>neobsazeno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1D215FE" w14:textId="408D9227" w:rsidR="0059559F" w:rsidRDefault="0059559F" w:rsidP="007345FE">
      <w:pPr>
        <w:pStyle w:val="Text2-2"/>
        <w:ind w:left="1701" w:hanging="992"/>
      </w:pPr>
      <w:r>
        <w:t>neobsazeno</w:t>
      </w:r>
    </w:p>
    <w:p w14:paraId="3D62DFFC" w14:textId="253A9C56" w:rsidR="0059559F" w:rsidRDefault="0059559F" w:rsidP="007345FE">
      <w:pPr>
        <w:pStyle w:val="Text2-2"/>
        <w:ind w:left="1701" w:hanging="992"/>
      </w:pPr>
      <w:r>
        <w:t>neobsazeno</w:t>
      </w:r>
    </w:p>
    <w:p w14:paraId="5F3CF275" w14:textId="38BD1861" w:rsidR="009F244D" w:rsidRPr="009F244D" w:rsidRDefault="00B24A31" w:rsidP="007345FE">
      <w:pPr>
        <w:pStyle w:val="Text2-2"/>
        <w:ind w:left="1701" w:hanging="992"/>
      </w:pPr>
      <w:r>
        <w:t>neobsazeno</w:t>
      </w:r>
    </w:p>
    <w:p w14:paraId="6D71CCCF" w14:textId="348D944E" w:rsidR="0059559F" w:rsidRDefault="0059559F" w:rsidP="007345FE">
      <w:pPr>
        <w:pStyle w:val="Text2-2"/>
        <w:ind w:left="1701" w:hanging="992"/>
      </w:pPr>
      <w:r>
        <w:t>neobsazeno</w:t>
      </w:r>
    </w:p>
    <w:p w14:paraId="6BE0803C" w14:textId="0A334F31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</w:t>
      </w:r>
      <w:r w:rsidRPr="009F244D">
        <w:lastRenderedPageBreak/>
        <w:t xml:space="preserve">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570CF" w:rsidRDefault="006F687F" w:rsidP="007345FE">
      <w:pPr>
        <w:pStyle w:val="Text2-2"/>
        <w:ind w:left="1701" w:hanging="992"/>
      </w:pPr>
      <w:r w:rsidRPr="00A570CF">
        <w:t xml:space="preserve">Zhotovitel se zavazuje zajistit u svých zaměstnanců a zaměstnanců poddodavatelů prokazatelné seznámení s </w:t>
      </w:r>
      <w:r w:rsidRPr="00A570CF">
        <w:rPr>
          <w:b/>
        </w:rPr>
        <w:t xml:space="preserve">plánem BOZP </w:t>
      </w:r>
      <w:r w:rsidRPr="00A570CF">
        <w:t>Díla (dle zákona č. 309/2006 Sb.</w:t>
      </w:r>
      <w:r w:rsidR="006C44FD" w:rsidRPr="00A570CF">
        <w:t xml:space="preserve"> (zákon o zajištění dalších podmínek bezpečnosti a ochrany zdraví při práci))</w:t>
      </w:r>
      <w:r w:rsidRPr="00A570CF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51C879EC" w14:textId="77777777" w:rsidR="0059559F" w:rsidRPr="006F687F" w:rsidRDefault="0059559F" w:rsidP="00B24A31">
      <w:pPr>
        <w:pStyle w:val="Text2-2"/>
        <w:tabs>
          <w:tab w:val="clear" w:pos="5076"/>
          <w:tab w:val="num" w:pos="1701"/>
        </w:tabs>
        <w:ind w:left="1701" w:hanging="99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  <w:r>
        <w:t xml:space="preserve"> </w:t>
      </w:r>
    </w:p>
    <w:p w14:paraId="0ED0B9E6" w14:textId="12FA3112" w:rsidR="0059559F" w:rsidRDefault="0059559F" w:rsidP="0059559F">
      <w:pPr>
        <w:pStyle w:val="Text2-2"/>
        <w:ind w:left="1701" w:hanging="992"/>
      </w:pPr>
      <w:r w:rsidRPr="006F687F">
        <w:t>Zhotovitel se zavazuje zajistit, že na všech vozidlech Zhotovitele a Poddodavatelů, používaných na Staveništi, bude viditelně vyznačena obchodní firma nebo jméno</w:t>
      </w:r>
    </w:p>
    <w:p w14:paraId="2A410972" w14:textId="49E44B7E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58CF6C74" w14:textId="189B84BD" w:rsidR="0059559F" w:rsidRDefault="0059559F" w:rsidP="0059559F">
      <w:pPr>
        <w:pStyle w:val="Text2-1"/>
        <w:tabs>
          <w:tab w:val="clear" w:pos="737"/>
          <w:tab w:val="num" w:pos="0"/>
        </w:tabs>
        <w:ind w:left="709" w:hanging="709"/>
      </w:pPr>
      <w:r>
        <w:t>neobsazeno</w:t>
      </w:r>
    </w:p>
    <w:p w14:paraId="70372973" w14:textId="4A022DE2" w:rsidR="0059559F" w:rsidRDefault="0059559F" w:rsidP="0059559F">
      <w:pPr>
        <w:pStyle w:val="Text2-1"/>
        <w:tabs>
          <w:tab w:val="clear" w:pos="737"/>
          <w:tab w:val="num" w:pos="0"/>
        </w:tabs>
        <w:ind w:left="709" w:hanging="709"/>
      </w:pPr>
      <w:r>
        <w:t>neobsazeno</w:t>
      </w:r>
    </w:p>
    <w:p w14:paraId="4CBE5762" w14:textId="2F9A4151" w:rsidR="0059559F" w:rsidRDefault="0059559F" w:rsidP="0059559F">
      <w:pPr>
        <w:pStyle w:val="Text2-1"/>
        <w:tabs>
          <w:tab w:val="clear" w:pos="737"/>
          <w:tab w:val="num" w:pos="0"/>
        </w:tabs>
        <w:ind w:left="709" w:hanging="709"/>
      </w:pPr>
      <w:r>
        <w:t>neobsazeno</w:t>
      </w:r>
    </w:p>
    <w:p w14:paraId="07720634" w14:textId="17360FB5" w:rsidR="0059559F" w:rsidRDefault="0059559F" w:rsidP="0059559F">
      <w:pPr>
        <w:pStyle w:val="Text2-1"/>
        <w:tabs>
          <w:tab w:val="clear" w:pos="737"/>
          <w:tab w:val="num" w:pos="0"/>
        </w:tabs>
        <w:ind w:left="709" w:hanging="709"/>
      </w:pPr>
      <w:r>
        <w:t>neobsazeno</w:t>
      </w:r>
    </w:p>
    <w:p w14:paraId="7FE94650" w14:textId="77777777" w:rsidR="0059559F" w:rsidRPr="00F827DA" w:rsidRDefault="0059559F" w:rsidP="0059559F">
      <w:pPr>
        <w:pStyle w:val="Text2-1"/>
        <w:tabs>
          <w:tab w:val="clear" w:pos="737"/>
        </w:tabs>
      </w:pPr>
      <w:r w:rsidRPr="00F827DA">
        <w:t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5_1 Zadávací dokumentace).</w:t>
      </w:r>
    </w:p>
    <w:p w14:paraId="0C469C8E" w14:textId="333B620D" w:rsidR="0059559F" w:rsidRDefault="0059559F" w:rsidP="0059559F">
      <w:pPr>
        <w:pStyle w:val="Text2-1"/>
        <w:tabs>
          <w:tab w:val="clear" w:pos="737"/>
          <w:tab w:val="num" w:pos="0"/>
        </w:tabs>
        <w:ind w:left="709" w:hanging="709"/>
      </w:pPr>
      <w:r w:rsidRPr="00F827DA">
        <w:lastRenderedPageBreak/>
        <w:t>Zhotovitel je povinen dodržovat podmínky pro přístupy osob v prostoru stavby v souladu s Pokynem generálního ředitele SŽ PO-09/2021-GŘ , který byl Zhotoviteli poskytnut jako součást Zadávací dokumentace (Díl 5_2 Zadávací dokumentace).</w:t>
      </w:r>
    </w:p>
    <w:p w14:paraId="14F9AF10" w14:textId="424EE9C2" w:rsidR="0059559F" w:rsidRDefault="0059559F" w:rsidP="0059559F">
      <w:pPr>
        <w:pStyle w:val="Text2-1"/>
        <w:tabs>
          <w:tab w:val="clear" w:pos="737"/>
          <w:tab w:val="num" w:pos="0"/>
        </w:tabs>
        <w:ind w:left="709" w:hanging="709"/>
      </w:pPr>
      <w:r>
        <w:t>neobsazeno</w:t>
      </w:r>
    </w:p>
    <w:p w14:paraId="16426AE8" w14:textId="77777777" w:rsidR="00DF7BAA" w:rsidRDefault="00DF7BAA" w:rsidP="00DF7BAA">
      <w:pPr>
        <w:pStyle w:val="Nadpis2-2"/>
      </w:pPr>
      <w:bookmarkStart w:id="36" w:name="_Toc143854347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55D9CDB6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A570CF" w:rsidRPr="00A570CF">
        <w:t>Ing. Jakub Gavlík</w:t>
      </w:r>
      <w:r w:rsidR="00B834ED">
        <w:t>,</w:t>
      </w:r>
      <w:r w:rsidR="00A570CF" w:rsidRPr="00A570CF">
        <w:t xml:space="preserve"> </w:t>
      </w:r>
      <w:hyperlink r:id="rId11" w:history="1">
        <w:r w:rsidR="00B834ED" w:rsidRPr="0062334F">
          <w:rPr>
            <w:rStyle w:val="Hypertextovodkaz"/>
            <w:noProof w:val="0"/>
          </w:rPr>
          <w:t>Gavlik@spravazeleznic.cz</w:t>
        </w:r>
      </w:hyperlink>
      <w:r w:rsidR="00A570CF" w:rsidRPr="00A570CF">
        <w:t>, tel. 727 877</w:t>
      </w:r>
      <w:r w:rsidR="00A570CF">
        <w:t> </w:t>
      </w:r>
      <w:r w:rsidR="00A570CF" w:rsidRPr="00A570CF">
        <w:t>401</w:t>
      </w:r>
      <w:r w:rsidR="00A570CF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4E501D82" w14:textId="7FFEEC76" w:rsidR="0059559F" w:rsidRDefault="0059559F" w:rsidP="00DC55C8">
      <w:pPr>
        <w:pStyle w:val="Text2-1"/>
      </w:pPr>
      <w:r>
        <w:t>neobsazeno</w:t>
      </w:r>
    </w:p>
    <w:p w14:paraId="053071F0" w14:textId="447B6EA2" w:rsidR="00DC55C8" w:rsidRPr="00A570CF" w:rsidRDefault="00DC55C8" w:rsidP="00DC55C8">
      <w:pPr>
        <w:pStyle w:val="Text2-1"/>
      </w:pPr>
      <w:r w:rsidRPr="00A570C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3308C8E8" w:rsidR="00DC55C8" w:rsidRPr="00A570CF" w:rsidRDefault="00DC55C8" w:rsidP="00DC55C8">
      <w:pPr>
        <w:pStyle w:val="Text2-1"/>
      </w:pPr>
      <w:r w:rsidRPr="00A570CF">
        <w:t>Dostupné podklady uvedené v čl. 4.2.</w:t>
      </w:r>
      <w:r w:rsidR="0059559F">
        <w:t>5</w:t>
      </w:r>
      <w:r w:rsidRPr="00A570CF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212F77" w:rsidRDefault="00DC55C8" w:rsidP="00DC55C8">
      <w:pPr>
        <w:pStyle w:val="Text2-1"/>
      </w:pPr>
      <w:r w:rsidRPr="00212F77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lastRenderedPageBreak/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6BBB0197" w14:textId="22658EEC" w:rsidR="0059559F" w:rsidRDefault="0059559F" w:rsidP="00DC55C8">
      <w:pPr>
        <w:pStyle w:val="Text2-1"/>
      </w:pPr>
      <w:r>
        <w:t>neobsazeno</w:t>
      </w:r>
    </w:p>
    <w:p w14:paraId="774FF903" w14:textId="5D60F59A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6F9E5270" w:rsidR="00DC55C8" w:rsidRPr="00C23F3B" w:rsidRDefault="00DC55C8" w:rsidP="00DC55C8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webovém odkazu </w:t>
      </w:r>
      <w:hyperlink r:id="rId12" w:history="1">
        <w:r w:rsidR="00B834ED" w:rsidRPr="00C23F3B">
          <w:rPr>
            <w:rStyle w:val="Hypertextovodkaz"/>
            <w:noProof w:val="0"/>
          </w:rPr>
          <w:t>https://www.spravazeleznic.cz/stavby-zakazky/podklady-pro-zhotovitele/zaborovy-elaborat</w:t>
        </w:r>
      </w:hyperlink>
      <w:r w:rsidRPr="00C23F3B">
        <w:t>.</w:t>
      </w:r>
    </w:p>
    <w:p w14:paraId="0B9E30FA" w14:textId="0F379465" w:rsidR="00DC55C8" w:rsidRPr="00C23F3B" w:rsidRDefault="00DC55C8" w:rsidP="00F21EDB">
      <w:pPr>
        <w:pStyle w:val="Text2-1"/>
      </w:pPr>
      <w:r w:rsidRPr="00C23F3B">
        <w:rPr>
          <w:b/>
        </w:rPr>
        <w:t>Na neelektrizovaných tratích</w:t>
      </w:r>
      <w:r w:rsidRPr="00C23F3B">
        <w:t xml:space="preserve"> platí pro zřizování zajištění PPK postupy dle dopisu Ředitele O13, čj. 168954/2021-SŽ-GŘ-O13, Zajištění prostorové polohy na neelektrizovaných tratích SŽ (viz příloha </w:t>
      </w:r>
      <w:r w:rsidR="000E6BDE">
        <w:t>7.1.1</w:t>
      </w:r>
      <w:r w:rsidRPr="00C23F3B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43854348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1C8995F6" w14:textId="77777777" w:rsidR="0059559F" w:rsidRDefault="0059559F" w:rsidP="0059559F">
      <w:pPr>
        <w:pStyle w:val="Text2-1"/>
      </w:pPr>
      <w:r w:rsidRPr="00F827DA">
        <w:t>Pokud již Zhotovitel nepředložil dále uvedené doklady pře uzavřením SOD,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možné zahájit práce na výše uvedených objektech.</w:t>
      </w:r>
    </w:p>
    <w:p w14:paraId="654AC70C" w14:textId="77777777" w:rsidR="0059559F" w:rsidRDefault="0059559F" w:rsidP="0059559F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</w:t>
      </w:r>
    </w:p>
    <w:p w14:paraId="6F8C1AA1" w14:textId="7B2D54F4" w:rsidR="00733263" w:rsidRPr="00DB1800" w:rsidRDefault="0059559F" w:rsidP="0059559F">
      <w:pPr>
        <w:pStyle w:val="Text2-1"/>
      </w:pPr>
      <w:r>
        <w:t>Zhotovitel (i jeho podzhotovitelé) je povinen pracovat dle platných předpisů SŽ, tzn. i dle Interního předpisu SŽ Zam1.</w:t>
      </w:r>
      <w:r w:rsidR="00733263">
        <w:t xml:space="preserve"> </w:t>
      </w:r>
    </w:p>
    <w:p w14:paraId="4E3B5150" w14:textId="77777777" w:rsidR="00DF7BAA" w:rsidRPr="00953A4A" w:rsidRDefault="00DF7BAA" w:rsidP="00DF7BAA">
      <w:pPr>
        <w:pStyle w:val="Nadpis2-2"/>
      </w:pPr>
      <w:bookmarkStart w:id="42" w:name="_Toc6410439"/>
      <w:bookmarkStart w:id="43" w:name="_Toc143854349"/>
      <w:r w:rsidRPr="00953A4A">
        <w:t>Dokumentace zhotovitele pro stavbu</w:t>
      </w:r>
      <w:bookmarkEnd w:id="42"/>
      <w:bookmarkEnd w:id="43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(TePř)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59559F" w:rsidRDefault="00DF7BAA" w:rsidP="0060019A">
      <w:pPr>
        <w:pStyle w:val="Nadpis2-2"/>
      </w:pPr>
      <w:bookmarkStart w:id="44" w:name="_Toc6410440"/>
      <w:bookmarkStart w:id="45" w:name="_Toc143854350"/>
      <w:r w:rsidRPr="0059559F">
        <w:t>Dokumentace skutečného provedení stavby</w:t>
      </w:r>
      <w:bookmarkEnd w:id="44"/>
      <w:bookmarkEnd w:id="45"/>
    </w:p>
    <w:p w14:paraId="09AE9382" w14:textId="7CB8C9B0" w:rsidR="006411F1" w:rsidRPr="0059559F" w:rsidRDefault="006411F1" w:rsidP="006411F1">
      <w:pPr>
        <w:pStyle w:val="Text2-1"/>
        <w:rPr>
          <w:color w:val="00A1E0"/>
        </w:rPr>
      </w:pPr>
      <w:r w:rsidRPr="0059559F">
        <w:t>D</w:t>
      </w:r>
      <w:r w:rsidR="000E11D6" w:rsidRPr="0059559F">
        <w:t>SPS</w:t>
      </w:r>
      <w:r w:rsidRPr="0059559F">
        <w:t xml:space="preserve"> se pro danou stavbu nevyhotovuje. </w:t>
      </w:r>
    </w:p>
    <w:p w14:paraId="30ED94AF" w14:textId="77777777" w:rsidR="00DF7BAA" w:rsidRPr="00E77C22" w:rsidRDefault="00DF7BAA" w:rsidP="00DF7BAA">
      <w:pPr>
        <w:pStyle w:val="Nadpis2-2"/>
      </w:pPr>
      <w:bookmarkStart w:id="46" w:name="_Toc6410441"/>
      <w:bookmarkStart w:id="47" w:name="_Toc143854351"/>
      <w:r w:rsidRPr="00E77C22">
        <w:lastRenderedPageBreak/>
        <w:t>Zabezpečovací zařízení</w:t>
      </w:r>
      <w:bookmarkEnd w:id="46"/>
      <w:bookmarkEnd w:id="47"/>
    </w:p>
    <w:p w14:paraId="294441E7" w14:textId="77777777" w:rsidR="00212F77" w:rsidRPr="00212F77" w:rsidRDefault="00212F77" w:rsidP="002B7DB4">
      <w:pPr>
        <w:pStyle w:val="Text2-1"/>
        <w:rPr>
          <w:b/>
        </w:rPr>
      </w:pPr>
      <w:bookmarkStart w:id="48" w:name="_Toc6410445"/>
      <w:r w:rsidRPr="00212F77">
        <w:t>V rámci akce dojde pouze k demontáži a montáži zařízení umístěných v koleji – provede objednatel</w:t>
      </w:r>
    </w:p>
    <w:p w14:paraId="16A1F989" w14:textId="6172AB69" w:rsidR="0059559F" w:rsidRDefault="0059559F" w:rsidP="00DF7BAA">
      <w:pPr>
        <w:pStyle w:val="Nadpis2-2"/>
      </w:pPr>
      <w:bookmarkStart w:id="49" w:name="_Toc143854352"/>
      <w:r>
        <w:t xml:space="preserve">Sdělovací zařízení </w:t>
      </w:r>
    </w:p>
    <w:p w14:paraId="660962E2" w14:textId="026EF96E" w:rsidR="0059559F" w:rsidRDefault="0059559F" w:rsidP="0059559F">
      <w:pPr>
        <w:pStyle w:val="Text2-1"/>
      </w:pPr>
      <w:r>
        <w:t>neobsazeno</w:t>
      </w:r>
    </w:p>
    <w:p w14:paraId="168F7499" w14:textId="77777777" w:rsidR="0059559F" w:rsidRPr="00E77C22" w:rsidRDefault="0059559F" w:rsidP="0059559F">
      <w:pPr>
        <w:pStyle w:val="Nadpis2-2"/>
      </w:pPr>
      <w:bookmarkStart w:id="50" w:name="_Toc6410443"/>
      <w:bookmarkStart w:id="51" w:name="_Toc121494856"/>
      <w:bookmarkStart w:id="52" w:name="_Toc143773421"/>
      <w:r w:rsidRPr="00E77C22">
        <w:t>Silnoproudá technologie včetně DŘT, trakční a energetická zařízení</w:t>
      </w:r>
      <w:bookmarkEnd w:id="50"/>
      <w:bookmarkEnd w:id="51"/>
      <w:bookmarkEnd w:id="52"/>
    </w:p>
    <w:p w14:paraId="1878C822" w14:textId="5A030E0F" w:rsidR="0059559F" w:rsidRPr="00E77C22" w:rsidRDefault="0059559F" w:rsidP="0059559F">
      <w:pPr>
        <w:pStyle w:val="Text2-1"/>
      </w:pPr>
      <w:r>
        <w:t>neobsazeno</w:t>
      </w:r>
    </w:p>
    <w:p w14:paraId="6CA27CD1" w14:textId="77777777" w:rsidR="0059559F" w:rsidRDefault="0059559F" w:rsidP="0059559F">
      <w:pPr>
        <w:pStyle w:val="Nadpis2-2"/>
      </w:pPr>
      <w:bookmarkStart w:id="53" w:name="_Toc6410444"/>
      <w:bookmarkStart w:id="54" w:name="_Toc121494857"/>
      <w:bookmarkStart w:id="55" w:name="_Toc143773422"/>
      <w:r w:rsidRPr="00E77C22">
        <w:t>Ostatní technologická zařízení</w:t>
      </w:r>
      <w:bookmarkEnd w:id="53"/>
      <w:bookmarkEnd w:id="54"/>
      <w:bookmarkEnd w:id="55"/>
    </w:p>
    <w:p w14:paraId="0A2AA98F" w14:textId="0551370F" w:rsidR="0059559F" w:rsidRPr="0059559F" w:rsidRDefault="0059559F" w:rsidP="0059559F">
      <w:pPr>
        <w:pStyle w:val="Text2-1"/>
      </w:pPr>
      <w:r>
        <w:t>neobsazeno</w:t>
      </w:r>
    </w:p>
    <w:p w14:paraId="7E01DFFD" w14:textId="44A78C7A" w:rsidR="00DF7BAA" w:rsidRDefault="00DF7BAA" w:rsidP="00DF7BAA">
      <w:pPr>
        <w:pStyle w:val="Nadpis2-2"/>
      </w:pPr>
      <w:r>
        <w:t>Železniční svršek</w:t>
      </w:r>
      <w:bookmarkEnd w:id="48"/>
      <w:bookmarkEnd w:id="49"/>
      <w:r>
        <w:t xml:space="preserve"> </w:t>
      </w:r>
    </w:p>
    <w:p w14:paraId="13ACE8F7" w14:textId="77777777" w:rsidR="00212F77" w:rsidRDefault="00212F77" w:rsidP="00212F77">
      <w:pPr>
        <w:pStyle w:val="Text2-1"/>
      </w:pPr>
      <w:r>
        <w:t xml:space="preserve">Oprava koleje proběhne ve dvou úsecích km 5,876 – 6,700 a 8,145 – 9,424. Smyslem opravy v obou úsecích je výměna stávajícího kolejového roštu za nový. </w:t>
      </w:r>
    </w:p>
    <w:p w14:paraId="6B7200A1" w14:textId="774ADE8E" w:rsidR="00212F77" w:rsidRDefault="00212F77" w:rsidP="0059559F">
      <w:pPr>
        <w:pStyle w:val="Text2-1"/>
        <w:numPr>
          <w:ilvl w:val="0"/>
          <w:numId w:val="0"/>
        </w:numPr>
        <w:ind w:left="737"/>
      </w:pPr>
      <w:r>
        <w:t>Před výměnou KR bude v celém úseku strojně vyčištěno kolejové lože, které bude doplněno o nové kamenivo a upraveno do profilu. V obloucích malého poloměru bude zřízeno rozšíření a nadvýšení KL dle S</w:t>
      </w:r>
      <w:r w:rsidR="00B24A31">
        <w:t xml:space="preserve"> </w:t>
      </w:r>
      <w:r>
        <w:t>3/2.</w:t>
      </w:r>
    </w:p>
    <w:p w14:paraId="0F8F0379" w14:textId="6219C82E" w:rsidR="00212F77" w:rsidRDefault="00212F77" w:rsidP="0059559F">
      <w:pPr>
        <w:pStyle w:val="Text2-1"/>
        <w:numPr>
          <w:ilvl w:val="0"/>
          <w:numId w:val="0"/>
        </w:numPr>
        <w:ind w:left="737"/>
      </w:pPr>
      <w:r>
        <w:t>Do koleje v celém úseku budou vkládány nové pražce B</w:t>
      </w:r>
      <w:r w:rsidR="00B24A31">
        <w:t xml:space="preserve"> </w:t>
      </w:r>
      <w:r>
        <w:t>91S</w:t>
      </w:r>
      <w:r w:rsidR="008762D7">
        <w:t>/2</w:t>
      </w:r>
      <w:r>
        <w:t xml:space="preserve">. Do všech oblouků budou vkládány pražce s plným rozšířením rozchodu 15 mm, do přechodnic pak pražce s postupným nárůstem rozšíření rozchodu dle kladečského plánu (příloha 1). </w:t>
      </w:r>
      <w:r w:rsidR="008762D7">
        <w:t>N</w:t>
      </w:r>
      <w:r>
        <w:t>a pražcích bude použito upevnění W14, které dovoluje postupné rozšíření rozchodu po 2,5 mm. Do koleje budou před konečnou úpravou KL a svařením do BK namontovány pražcové kotvy dle kladečského plánu (příloha 1).</w:t>
      </w:r>
    </w:p>
    <w:p w14:paraId="7C84EA7B" w14:textId="1573BF8B" w:rsidR="00212F77" w:rsidRDefault="008F74E8" w:rsidP="0059559F">
      <w:pPr>
        <w:pStyle w:val="Text2-1"/>
        <w:numPr>
          <w:ilvl w:val="0"/>
          <w:numId w:val="0"/>
        </w:numPr>
        <w:ind w:left="737"/>
      </w:pPr>
      <w:r>
        <w:t xml:space="preserve">Dělení kolejnic musí být provedeno tak, aby se co nejvíce minimalizovaly ztráty v podobě krátkých kolejnic. Stávající kolejnicové spojky budou odřezány. </w:t>
      </w:r>
      <w:r w:rsidR="00212F77">
        <w:t>Stávající kolejnice budou po vytržení a demontáži KR roztříděny. Užité kolejnice, u kterých bude rozhodnuto o jejich vrácení zpět do koleje budou montovány tak, aby po pokládce KR bylo možné jejich bezprostřední svaření do BK bez nutnosti jejich přesunu. Kolejnice určené k likvidaci budou využity jako kolejnice inventární pro umožnění montáže KR. Následně budou tyto kolejnice vyměněny za kolejnice nové (kolejnicové pásy). Kolejnice budou nově vloženy dle schématu (příloha 2).</w:t>
      </w:r>
    </w:p>
    <w:p w14:paraId="1224735D" w14:textId="61E7C172" w:rsidR="00212F77" w:rsidRDefault="00212F77" w:rsidP="0059559F">
      <w:pPr>
        <w:pStyle w:val="Text2-1"/>
        <w:numPr>
          <w:ilvl w:val="0"/>
          <w:numId w:val="0"/>
        </w:numPr>
        <w:ind w:left="737"/>
      </w:pPr>
      <w:r>
        <w:t>BK bude zřízena v celém úseku a bude navázána na sousední úseky BK. Vzhledem k omezeným délkám napínacích úseků v malých poloměrech budou při zřízení použity aluminotermické svary.</w:t>
      </w:r>
    </w:p>
    <w:p w14:paraId="6EF85FD6" w14:textId="77777777" w:rsidR="00074F48" w:rsidRPr="00DB1800" w:rsidRDefault="00074F48" w:rsidP="00F21EDB">
      <w:pPr>
        <w:pStyle w:val="Text2-1"/>
        <w:rPr>
          <w:b/>
        </w:rPr>
      </w:pPr>
      <w:r w:rsidRPr="00DB1800">
        <w:rPr>
          <w:b/>
        </w:rPr>
        <w:t>Centrální nákup materiálu</w:t>
      </w:r>
    </w:p>
    <w:p w14:paraId="49819146" w14:textId="0F66E27F" w:rsidR="00074F48" w:rsidRDefault="00074F48" w:rsidP="00DE3429">
      <w:pPr>
        <w:pStyle w:val="Text2-2"/>
        <w:ind w:left="1701" w:hanging="992"/>
      </w:pPr>
      <w:r w:rsidRPr="00952596">
        <w:t xml:space="preserve">Nové vystrojené betonové </w:t>
      </w:r>
      <w:r w:rsidR="004351ED">
        <w:t xml:space="preserve">a dřevěné příčné </w:t>
      </w:r>
      <w:r w:rsidRPr="00952596">
        <w:t>pražce</w:t>
      </w:r>
      <w:r w:rsidR="004351ED">
        <w:t xml:space="preserve"> </w:t>
      </w:r>
      <w:r w:rsidRPr="00952596">
        <w:t xml:space="preserve">a kolejnice (dále „Materiál“), které jsou </w:t>
      </w:r>
      <w:r w:rsidRPr="00212F77">
        <w:t xml:space="preserve">součástí SO </w:t>
      </w:r>
      <w:r w:rsidR="00212F77" w:rsidRPr="00212F77">
        <w:t xml:space="preserve">01 a SO 02 </w:t>
      </w:r>
      <w:r w:rsidRPr="00952596">
        <w:t>dle technické specifikace položky v Soupisu prací jednotlivých položek, nejsou součástí dodávky na zhotovení stavby a nejsou součástí nákladů stavby. Nákup vystrojených betonových pražců a kolejnic provede centrálně Objednatel</w:t>
      </w:r>
      <w:r w:rsidR="00212F77">
        <w:t>.</w:t>
      </w:r>
    </w:p>
    <w:p w14:paraId="55F400DF" w14:textId="31CBD53E" w:rsidR="00DD3D78" w:rsidRDefault="00DD3D78" w:rsidP="00DE3429">
      <w:pPr>
        <w:pStyle w:val="Text2-2"/>
        <w:ind w:left="1701" w:hanging="992"/>
      </w:pPr>
      <w:r>
        <w:t>Rozsah materiálu (</w:t>
      </w:r>
      <w:r w:rsidR="00D82632">
        <w:t>typ a množství</w:t>
      </w:r>
      <w:r>
        <w:t>) je následující:</w:t>
      </w:r>
    </w:p>
    <w:p w14:paraId="0F0539BA" w14:textId="77777777" w:rsidR="00924C7D" w:rsidRDefault="00924C7D" w:rsidP="00B24A31">
      <w:pPr>
        <w:pStyle w:val="Text2-2"/>
        <w:numPr>
          <w:ilvl w:val="2"/>
          <w:numId w:val="12"/>
        </w:numPr>
      </w:pPr>
      <w:r>
        <w:t>Kolejnicové pásy třídy R260 tv. 49 E1 délky 75 metrů</w:t>
      </w:r>
    </w:p>
    <w:p w14:paraId="56845A07" w14:textId="77777777" w:rsidR="00924C7D" w:rsidRDefault="00924C7D" w:rsidP="00B24A31">
      <w:pPr>
        <w:pStyle w:val="Text2-2"/>
        <w:numPr>
          <w:ilvl w:val="2"/>
          <w:numId w:val="12"/>
        </w:numPr>
      </w:pPr>
      <w:r>
        <w:t>Kolejnicové pásy R350HT tv.49 E1 délky 120 metrů</w:t>
      </w:r>
    </w:p>
    <w:p w14:paraId="2E7EA6FF" w14:textId="77777777" w:rsidR="00924C7D" w:rsidRDefault="00924C7D" w:rsidP="00B24A31">
      <w:pPr>
        <w:pStyle w:val="Text2-2"/>
        <w:numPr>
          <w:ilvl w:val="2"/>
          <w:numId w:val="12"/>
        </w:numPr>
      </w:pPr>
      <w:r>
        <w:t>Pražec dřevěný příčný nevystrojený dub 2600x260x160 mm</w:t>
      </w:r>
    </w:p>
    <w:p w14:paraId="4BD9400E" w14:textId="301E89DB" w:rsidR="00924C7D" w:rsidRDefault="00924C7D" w:rsidP="00B24A31">
      <w:pPr>
        <w:pStyle w:val="Text2-2"/>
        <w:numPr>
          <w:ilvl w:val="2"/>
          <w:numId w:val="12"/>
        </w:numPr>
      </w:pPr>
      <w:r>
        <w:t>Pražec betonový příčný vystrojený včetně kompletů B91</w:t>
      </w:r>
      <w:r w:rsidR="004351ED">
        <w:t>T/2</w:t>
      </w:r>
    </w:p>
    <w:p w14:paraId="0AAF0014" w14:textId="0EDC5176" w:rsidR="00DF7BAA" w:rsidRPr="00952596" w:rsidRDefault="00074F48" w:rsidP="00DE3429">
      <w:pPr>
        <w:pStyle w:val="Text2-2"/>
        <w:ind w:left="1701" w:hanging="992"/>
      </w:pPr>
      <w:r w:rsidRPr="00952596">
        <w:t>Součástí činnosti Zhotovitele je u položek v Soupisu prací, u nichž je dodavatelem Materiálu Objednatel, veškerá manipulace</w:t>
      </w:r>
      <w:r w:rsidR="00212F77">
        <w:t>,</w:t>
      </w:r>
      <w:r w:rsidRPr="00952596">
        <w:t xml:space="preserve"> </w:t>
      </w:r>
      <w:r w:rsidR="00212F77">
        <w:t>složení</w:t>
      </w:r>
      <w:r w:rsidR="00212F77" w:rsidRPr="00952596">
        <w:t xml:space="preserve"> </w:t>
      </w:r>
      <w:r w:rsidRPr="00952596">
        <w:t>a přeprava Materiálu z Místa předání až do místa na stavbě</w:t>
      </w:r>
      <w:r w:rsidR="00212F77">
        <w:t xml:space="preserve"> </w:t>
      </w:r>
      <w:r w:rsidRPr="00952596">
        <w:t>včetně jeho zabudování a včetně nákladů na tyto činnosti.</w:t>
      </w:r>
    </w:p>
    <w:p w14:paraId="4F1BADAB" w14:textId="014B3968" w:rsidR="00074F48" w:rsidRPr="001E52E1" w:rsidRDefault="00074F48" w:rsidP="00DE3429">
      <w:pPr>
        <w:pStyle w:val="Text2-2"/>
        <w:ind w:left="1701" w:hanging="992"/>
      </w:pPr>
      <w:r w:rsidRPr="001E52E1">
        <w:lastRenderedPageBreak/>
        <w:t>Pro přepravu</w:t>
      </w:r>
      <w:r w:rsidR="001E52E1" w:rsidRPr="001E52E1">
        <w:t xml:space="preserve"> betonových vystrojených pražců</w:t>
      </w:r>
      <w:r w:rsidRPr="001E52E1">
        <w:t xml:space="preserve"> z Místa předání až do místa stavby určeného Projektovou dokumentací jsou v soupisu prací jednotlivých SO uvedeny položky pro dopravu z předpokládaných Míst předání: pro vystrojené betonové pražce z výrobní závod ŽPSV Uherský Ostroh </w:t>
      </w:r>
      <w:r w:rsidR="00857510">
        <w:t>a Doloplazy</w:t>
      </w:r>
      <w:r w:rsidRPr="001E52E1">
        <w:t>.</w:t>
      </w:r>
      <w:r w:rsidR="001E52E1" w:rsidRPr="001E52E1">
        <w:t xml:space="preserve"> Zhotovitel si u dodavatele Materiálu ověří možnosti nakládky na vlastní dopravní prostředky.</w:t>
      </w:r>
    </w:p>
    <w:p w14:paraId="62A47468" w14:textId="5CC2D475" w:rsidR="001E52E1" w:rsidRPr="001E52E1" w:rsidRDefault="001E52E1" w:rsidP="001E52E1">
      <w:pPr>
        <w:pStyle w:val="Text2-2"/>
        <w:ind w:left="1701" w:hanging="992"/>
      </w:pPr>
      <w:r w:rsidRPr="001E52E1">
        <w:t xml:space="preserve">Ostatní Centrálně dodávaný Materiál bude předán v Místě předání žst. Újezdec u Luhačovic naložený na dopravních prostředcích. </w:t>
      </w:r>
    </w:p>
    <w:p w14:paraId="0B0E13F1" w14:textId="5CF9FA39" w:rsidR="0083158B" w:rsidRDefault="00DB60B6" w:rsidP="00DE3429">
      <w:pPr>
        <w:pStyle w:val="Text2-2"/>
        <w:ind w:left="1701" w:hanging="992"/>
      </w:pPr>
      <w:r w:rsidRPr="00D82632">
        <w:t>Součástí každé dodávky Materiálu budou doklady o kvalitě dodávky dle příslušných TPD. Při předávání dodávky vystrojených betonových pražců a kolejnic poskytne Objednatel veškerou dokumentaci Zhotoviteli ke kontrole. Fyzické předání betonových pražců a kolejnic včetně kontroly kompletnosti a kvality dodávky Zhotoviteli bude provedeno v Místě předání.</w:t>
      </w:r>
    </w:p>
    <w:p w14:paraId="7D015749" w14:textId="031950DF" w:rsidR="005B6153" w:rsidRPr="00D82632" w:rsidRDefault="005B6153" w:rsidP="00DE3429">
      <w:pPr>
        <w:pStyle w:val="Text2-2"/>
        <w:ind w:left="1701" w:hanging="992"/>
      </w:pPr>
      <w:r>
        <w:t>Kolejnice budou dodány na první den výluky.</w:t>
      </w:r>
    </w:p>
    <w:p w14:paraId="6E55E370" w14:textId="77777777" w:rsidR="0059559F" w:rsidRPr="000124A1" w:rsidRDefault="0059559F" w:rsidP="0059559F">
      <w:pPr>
        <w:pStyle w:val="Nadpis2-2"/>
      </w:pPr>
      <w:bookmarkStart w:id="56" w:name="_Toc6410446"/>
      <w:bookmarkStart w:id="57" w:name="_Toc121494859"/>
      <w:bookmarkStart w:id="58" w:name="_Toc143773424"/>
      <w:bookmarkStart w:id="59" w:name="_Toc143854355"/>
      <w:bookmarkStart w:id="60" w:name="_Toc6410458"/>
      <w:r w:rsidRPr="000124A1">
        <w:t>Železniční spodek</w:t>
      </w:r>
      <w:bookmarkEnd w:id="56"/>
      <w:bookmarkEnd w:id="57"/>
      <w:bookmarkEnd w:id="58"/>
    </w:p>
    <w:p w14:paraId="70033C37" w14:textId="193B8CA3" w:rsidR="0059559F" w:rsidRPr="000124A1" w:rsidRDefault="0059559F" w:rsidP="0059559F">
      <w:pPr>
        <w:pStyle w:val="Text2-1"/>
      </w:pPr>
      <w:r>
        <w:t>neobsazeno</w:t>
      </w:r>
    </w:p>
    <w:p w14:paraId="472A05FD" w14:textId="77777777" w:rsidR="0059559F" w:rsidRPr="000124A1" w:rsidRDefault="0059559F" w:rsidP="0059559F">
      <w:pPr>
        <w:pStyle w:val="Nadpis2-2"/>
      </w:pPr>
      <w:bookmarkStart w:id="61" w:name="_Toc6410447"/>
      <w:bookmarkStart w:id="62" w:name="_Toc121494860"/>
      <w:bookmarkStart w:id="63" w:name="_Toc143773425"/>
      <w:r w:rsidRPr="000124A1">
        <w:t>Nástupiště</w:t>
      </w:r>
      <w:bookmarkEnd w:id="61"/>
      <w:bookmarkEnd w:id="62"/>
      <w:bookmarkEnd w:id="63"/>
    </w:p>
    <w:p w14:paraId="0A4E68CF" w14:textId="77777777" w:rsidR="0059559F" w:rsidRPr="000124A1" w:rsidRDefault="0059559F" w:rsidP="0059559F">
      <w:pPr>
        <w:pStyle w:val="Text2-1"/>
      </w:pPr>
      <w:bookmarkStart w:id="64" w:name="_Hlk143855856"/>
      <w:bookmarkStart w:id="65" w:name="_Toc121494861"/>
      <w:bookmarkStart w:id="66" w:name="_Toc143773426"/>
      <w:r>
        <w:t>neobsazeno</w:t>
      </w:r>
      <w:bookmarkEnd w:id="64"/>
    </w:p>
    <w:p w14:paraId="2407F4C6" w14:textId="77777777" w:rsidR="0059559F" w:rsidRPr="000124A1" w:rsidRDefault="0059559F" w:rsidP="0059559F">
      <w:pPr>
        <w:pStyle w:val="Nadpis2-2"/>
      </w:pPr>
      <w:r w:rsidRPr="000124A1">
        <w:t>Železniční přejezdy</w:t>
      </w:r>
      <w:bookmarkEnd w:id="65"/>
      <w:bookmarkEnd w:id="66"/>
    </w:p>
    <w:p w14:paraId="5D1C4035" w14:textId="77777777" w:rsidR="0059559F" w:rsidRPr="001E52E1" w:rsidRDefault="0059559F" w:rsidP="0059559F">
      <w:pPr>
        <w:pStyle w:val="Text2-1"/>
        <w:rPr>
          <w:b/>
        </w:rPr>
      </w:pPr>
      <w:bookmarkStart w:id="67" w:name="_Toc121494862"/>
      <w:bookmarkStart w:id="68" w:name="_Toc143773427"/>
      <w:r w:rsidRPr="001E52E1">
        <w:t>V rámci akce bude zasaženo do těchto přejezdů:</w:t>
      </w:r>
    </w:p>
    <w:p w14:paraId="1FD80E9E" w14:textId="77777777" w:rsidR="0059559F" w:rsidRPr="001E52E1" w:rsidRDefault="0059559F" w:rsidP="0059559F">
      <w:pPr>
        <w:pStyle w:val="Odrka1-4"/>
        <w:rPr>
          <w:b/>
        </w:rPr>
      </w:pPr>
      <w:r w:rsidRPr="001E52E1">
        <w:t>P8041 v km 5,955: v rámci akce bude konstrukce demontována a po provedení opravy opět namontována zpět.</w:t>
      </w:r>
      <w:r>
        <w:t xml:space="preserve"> Přejezd je trvale uzavřen, tzn. není nutné vyřízení uzávěry</w:t>
      </w:r>
    </w:p>
    <w:p w14:paraId="3EB58350" w14:textId="77777777" w:rsidR="0059559F" w:rsidRPr="001E52E1" w:rsidRDefault="0059559F" w:rsidP="0059559F">
      <w:pPr>
        <w:pStyle w:val="Odrka1-4"/>
        <w:rPr>
          <w:b/>
        </w:rPr>
      </w:pPr>
      <w:r w:rsidRPr="001E52E1">
        <w:t>P8044 v km 8,605: v rámci akce bude konstrukce demontována</w:t>
      </w:r>
      <w:r>
        <w:t xml:space="preserve"> a</w:t>
      </w:r>
      <w:r w:rsidRPr="001E52E1">
        <w:t xml:space="preserve"> namontována </w:t>
      </w:r>
      <w:r>
        <w:t>jen</w:t>
      </w:r>
      <w:r w:rsidRPr="001E52E1">
        <w:t xml:space="preserve"> p</w:t>
      </w:r>
      <w:r>
        <w:t>r</w:t>
      </w:r>
      <w:r w:rsidRPr="001E52E1">
        <w:t xml:space="preserve">o </w:t>
      </w:r>
      <w:r>
        <w:t xml:space="preserve">umožnění </w:t>
      </w:r>
      <w:r w:rsidRPr="001E52E1">
        <w:t>provedení opravy GPK.</w:t>
      </w:r>
    </w:p>
    <w:p w14:paraId="547B6B94" w14:textId="77777777" w:rsidR="0059559F" w:rsidRPr="001E52E1" w:rsidRDefault="0059559F" w:rsidP="0059559F">
      <w:pPr>
        <w:pStyle w:val="Odrka1-4"/>
        <w:rPr>
          <w:b/>
        </w:rPr>
      </w:pPr>
      <w:r w:rsidRPr="001E52E1">
        <w:t>P8045, km 9,109: v rámci akce bude konstrukce demontována, v oblasti přejezdu budou vyměněny pražce za nové VPS pražce vystrojené abnormálními klínovými podkladnicemi S4 upravenými pro rozchod + 15 mm</w:t>
      </w:r>
      <w:r>
        <w:t>.</w:t>
      </w:r>
      <w:r w:rsidRPr="001E52E1">
        <w:t xml:space="preserve"> </w:t>
      </w:r>
      <w:r>
        <w:t>p</w:t>
      </w:r>
      <w:r w:rsidRPr="001E52E1">
        <w:t>o provedení opravy bude konstrukce opět namontována zpět.</w:t>
      </w:r>
    </w:p>
    <w:p w14:paraId="1DDAEC9A" w14:textId="77777777" w:rsidR="0059559F" w:rsidRPr="001E52E1" w:rsidRDefault="0059559F" w:rsidP="0059559F">
      <w:pPr>
        <w:pStyle w:val="Odrka1-4"/>
        <w:rPr>
          <w:b/>
        </w:rPr>
      </w:pPr>
      <w:r w:rsidRPr="001E52E1">
        <w:t>P8046, km 9,210: v rámci akce bude konstrukce demontována, v oblasti přejezdu budou vyměněny pražce za nové VPS pražce vystrojené abnormálními klínovými podkladnicemi S4 upravenými pro rozchod + 15 mm</w:t>
      </w:r>
      <w:r>
        <w:t>.</w:t>
      </w:r>
      <w:r w:rsidRPr="001E52E1">
        <w:t xml:space="preserve"> </w:t>
      </w:r>
      <w:r>
        <w:t>P</w:t>
      </w:r>
      <w:r w:rsidRPr="001E52E1">
        <w:t>o provedení opravy bude konstrukce opět namontována zpět.</w:t>
      </w:r>
    </w:p>
    <w:p w14:paraId="529D7B35" w14:textId="72B38FA2" w:rsidR="0059559F" w:rsidRPr="000124A1" w:rsidRDefault="0059559F" w:rsidP="0059559F">
      <w:pPr>
        <w:pStyle w:val="Text2-1"/>
      </w:pPr>
      <w:r w:rsidRPr="001E52E1">
        <w:t xml:space="preserve">P8047, km 9,400: v rámci akce bude </w:t>
      </w:r>
      <w:r>
        <w:t xml:space="preserve">stávající </w:t>
      </w:r>
      <w:r w:rsidRPr="001E52E1">
        <w:t>konstrukce demontována</w:t>
      </w:r>
      <w:r>
        <w:t xml:space="preserve"> včetně betonového lože pod vnějšími panely. V</w:t>
      </w:r>
      <w:r w:rsidRPr="001E52E1">
        <w:t xml:space="preserve"> oblasti přejezdu budou vyměněny pražce za nové VPS pražce vystrojené abnormálními klínovými podkladnicemi S4 upravenými pro rozchod + 15 mm</w:t>
      </w:r>
      <w:r>
        <w:t>. P</w:t>
      </w:r>
      <w:r w:rsidRPr="001E52E1">
        <w:t xml:space="preserve">o provedení opravy bude </w:t>
      </w:r>
      <w:r>
        <w:t>vložena užitá</w:t>
      </w:r>
      <w:r w:rsidRPr="00F34F2F">
        <w:t xml:space="preserve"> pryžová konstrukce</w:t>
      </w:r>
      <w:r>
        <w:t xml:space="preserve"> na závěrné zídky dodaná objednatelem a povrch mezi zídkami a chodníkem bude zapraven živicí</w:t>
      </w:r>
      <w:r w:rsidRPr="00F34F2F">
        <w:t>.</w:t>
      </w:r>
    </w:p>
    <w:p w14:paraId="793CBB9B" w14:textId="77777777" w:rsidR="0059559F" w:rsidRPr="000124A1" w:rsidRDefault="0059559F" w:rsidP="0059559F">
      <w:pPr>
        <w:pStyle w:val="Nadpis2-2"/>
      </w:pPr>
      <w:r w:rsidRPr="000124A1">
        <w:t>Mosty, propustky a zdi</w:t>
      </w:r>
      <w:bookmarkEnd w:id="67"/>
      <w:bookmarkEnd w:id="68"/>
    </w:p>
    <w:p w14:paraId="29F61B20" w14:textId="0D8511C6" w:rsidR="0059559F" w:rsidRPr="000124A1" w:rsidRDefault="0059559F" w:rsidP="0059559F">
      <w:pPr>
        <w:pStyle w:val="Text2-1"/>
      </w:pPr>
      <w:r>
        <w:t>neobsazeno</w:t>
      </w:r>
    </w:p>
    <w:p w14:paraId="617B712A" w14:textId="77777777" w:rsidR="0059559F" w:rsidRPr="000124A1" w:rsidRDefault="0059559F" w:rsidP="0059559F">
      <w:pPr>
        <w:pStyle w:val="Nadpis2-2"/>
      </w:pPr>
      <w:bookmarkStart w:id="69" w:name="_Toc6410450"/>
      <w:bookmarkStart w:id="70" w:name="_Toc121494863"/>
      <w:bookmarkStart w:id="71" w:name="_Toc143773428"/>
      <w:r w:rsidRPr="000124A1">
        <w:t>Ostatní inženýrské objekty</w:t>
      </w:r>
      <w:bookmarkEnd w:id="69"/>
      <w:bookmarkEnd w:id="70"/>
      <w:bookmarkEnd w:id="71"/>
    </w:p>
    <w:p w14:paraId="57B15097" w14:textId="1912AD04" w:rsidR="0059559F" w:rsidRPr="000124A1" w:rsidRDefault="0059559F" w:rsidP="0059559F">
      <w:pPr>
        <w:pStyle w:val="Text2-1"/>
      </w:pPr>
      <w:r>
        <w:t>neobsazeno</w:t>
      </w:r>
    </w:p>
    <w:p w14:paraId="486DA61E" w14:textId="77777777" w:rsidR="0059559F" w:rsidRPr="000124A1" w:rsidRDefault="0059559F" w:rsidP="0059559F">
      <w:pPr>
        <w:pStyle w:val="Nadpis2-2"/>
      </w:pPr>
      <w:bookmarkStart w:id="72" w:name="_Toc6410451"/>
      <w:bookmarkStart w:id="73" w:name="_Toc121494864"/>
      <w:bookmarkStart w:id="74" w:name="_Toc143773429"/>
      <w:r w:rsidRPr="000124A1">
        <w:t>Železniční tunely</w:t>
      </w:r>
      <w:bookmarkEnd w:id="72"/>
      <w:bookmarkEnd w:id="73"/>
      <w:bookmarkEnd w:id="74"/>
    </w:p>
    <w:p w14:paraId="318AB101" w14:textId="009ECC69" w:rsidR="0059559F" w:rsidRPr="000124A1" w:rsidRDefault="0059559F" w:rsidP="0059559F">
      <w:pPr>
        <w:pStyle w:val="Text2-1"/>
      </w:pPr>
      <w:r>
        <w:t>neobsazeno</w:t>
      </w:r>
    </w:p>
    <w:p w14:paraId="30B5409E" w14:textId="77777777" w:rsidR="0059559F" w:rsidRPr="000124A1" w:rsidRDefault="0059559F" w:rsidP="0059559F">
      <w:pPr>
        <w:pStyle w:val="Nadpis2-2"/>
      </w:pPr>
      <w:bookmarkStart w:id="75" w:name="_Toc6410452"/>
      <w:bookmarkStart w:id="76" w:name="_Toc121494865"/>
      <w:bookmarkStart w:id="77" w:name="_Toc143773430"/>
      <w:r w:rsidRPr="000124A1">
        <w:lastRenderedPageBreak/>
        <w:t>Pozemní komunikace</w:t>
      </w:r>
      <w:bookmarkEnd w:id="75"/>
      <w:bookmarkEnd w:id="76"/>
      <w:bookmarkEnd w:id="77"/>
    </w:p>
    <w:p w14:paraId="3D7ED09F" w14:textId="77777777" w:rsidR="0059559F" w:rsidRDefault="0059559F" w:rsidP="0059559F">
      <w:pPr>
        <w:pStyle w:val="Text2-1"/>
      </w:pPr>
      <w:bookmarkStart w:id="78" w:name="_Toc6410453"/>
      <w:bookmarkStart w:id="79" w:name="_Toc121494866"/>
      <w:bookmarkStart w:id="80" w:name="_Toc143773431"/>
      <w:r>
        <w:t>neobsazeno</w:t>
      </w:r>
      <w:r w:rsidRPr="000124A1">
        <w:t xml:space="preserve"> </w:t>
      </w:r>
    </w:p>
    <w:p w14:paraId="2DC41112" w14:textId="0728A641" w:rsidR="0059559F" w:rsidRPr="000124A1" w:rsidRDefault="0059559F" w:rsidP="0059559F">
      <w:pPr>
        <w:pStyle w:val="Nadpis2-2"/>
      </w:pPr>
      <w:r w:rsidRPr="000124A1">
        <w:t>Kabelovody, kolektory</w:t>
      </w:r>
      <w:bookmarkEnd w:id="78"/>
      <w:bookmarkEnd w:id="79"/>
      <w:bookmarkEnd w:id="80"/>
    </w:p>
    <w:p w14:paraId="55CFBB8D" w14:textId="2BFD9E95" w:rsidR="0059559F" w:rsidRPr="000124A1" w:rsidRDefault="0059559F" w:rsidP="0059559F">
      <w:pPr>
        <w:pStyle w:val="Text2-1"/>
      </w:pPr>
      <w:r>
        <w:t>neobsazeno</w:t>
      </w:r>
    </w:p>
    <w:p w14:paraId="1D5AEC2A" w14:textId="77777777" w:rsidR="0059559F" w:rsidRPr="000124A1" w:rsidRDefault="0059559F" w:rsidP="0059559F">
      <w:pPr>
        <w:pStyle w:val="Nadpis2-2"/>
      </w:pPr>
      <w:bookmarkStart w:id="81" w:name="_Toc6410454"/>
      <w:bookmarkStart w:id="82" w:name="_Toc121494867"/>
      <w:bookmarkStart w:id="83" w:name="_Toc143773432"/>
      <w:r w:rsidRPr="000124A1">
        <w:t>Protihlukové objekty</w:t>
      </w:r>
      <w:bookmarkEnd w:id="81"/>
      <w:bookmarkEnd w:id="82"/>
      <w:bookmarkEnd w:id="83"/>
    </w:p>
    <w:p w14:paraId="4422B5DD" w14:textId="3B45FB85" w:rsidR="0059559F" w:rsidRPr="000124A1" w:rsidRDefault="0059559F" w:rsidP="0059559F">
      <w:pPr>
        <w:pStyle w:val="Text2-1"/>
      </w:pPr>
      <w:r>
        <w:t>neobsazeno</w:t>
      </w:r>
      <w:r w:rsidRPr="000124A1">
        <w:t xml:space="preserve"> </w:t>
      </w:r>
    </w:p>
    <w:p w14:paraId="02A7B861" w14:textId="77777777" w:rsidR="0059559F" w:rsidRPr="000124A1" w:rsidRDefault="0059559F" w:rsidP="0059559F">
      <w:pPr>
        <w:pStyle w:val="Nadpis2-2"/>
      </w:pPr>
      <w:bookmarkStart w:id="84" w:name="_Toc6410455"/>
      <w:bookmarkStart w:id="85" w:name="_Toc121494868"/>
      <w:bookmarkStart w:id="86" w:name="_Toc143773433"/>
      <w:r w:rsidRPr="000124A1">
        <w:t>Pozemní stavební objekty</w:t>
      </w:r>
      <w:bookmarkEnd w:id="84"/>
      <w:bookmarkEnd w:id="85"/>
      <w:bookmarkEnd w:id="86"/>
    </w:p>
    <w:p w14:paraId="77591396" w14:textId="6A5F07B9" w:rsidR="0059559F" w:rsidRPr="000124A1" w:rsidRDefault="0059559F" w:rsidP="0059559F">
      <w:pPr>
        <w:pStyle w:val="Text2-1"/>
      </w:pPr>
      <w:r>
        <w:t>neobsazeno</w:t>
      </w:r>
    </w:p>
    <w:p w14:paraId="2F516419" w14:textId="77777777" w:rsidR="0059559F" w:rsidRPr="000124A1" w:rsidRDefault="0059559F" w:rsidP="0059559F">
      <w:pPr>
        <w:pStyle w:val="Nadpis2-2"/>
      </w:pPr>
      <w:bookmarkStart w:id="87" w:name="_Toc6410456"/>
      <w:bookmarkStart w:id="88" w:name="_Toc121494869"/>
      <w:bookmarkStart w:id="89" w:name="_Toc143773434"/>
      <w:r w:rsidRPr="000124A1">
        <w:t>Trakční a energická zařízení</w:t>
      </w:r>
      <w:bookmarkEnd w:id="87"/>
      <w:bookmarkEnd w:id="88"/>
      <w:bookmarkEnd w:id="89"/>
    </w:p>
    <w:p w14:paraId="155C0E75" w14:textId="2D4AF2E9" w:rsidR="0059559F" w:rsidRDefault="0059559F" w:rsidP="0059559F">
      <w:pPr>
        <w:pStyle w:val="Text2-1"/>
      </w:pPr>
      <w:r>
        <w:t>neobsazeno</w:t>
      </w:r>
    </w:p>
    <w:p w14:paraId="3B67C881" w14:textId="7B2A0057" w:rsidR="00DF7BAA" w:rsidRDefault="00DF7BAA" w:rsidP="00DF7BAA">
      <w:pPr>
        <w:pStyle w:val="Nadpis2-2"/>
      </w:pPr>
      <w:r>
        <w:t>Životní prostředí</w:t>
      </w:r>
      <w:bookmarkEnd w:id="59"/>
      <w:r>
        <w:t xml:space="preserve"> </w:t>
      </w:r>
      <w:bookmarkEnd w:id="60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2F1164FD" w14:textId="03768DD3" w:rsid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  <w:bCs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5E26A466" w14:textId="771282F6" w:rsid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  <w:bCs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7B4A336D" w14:textId="0DDF8D97" w:rsid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  <w:bCs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217C60E3" w14:textId="491D46A9" w:rsid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  <w:bCs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4F3A69D3" w14:textId="70150F51" w:rsid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  <w:bCs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62E4EB35" w14:textId="68EB4600" w:rsid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  <w:bCs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492B36CA" w14:textId="5F8CFF68" w:rsidR="0059559F" w:rsidRP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  <w:bCs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34EDCA4D" w14:textId="57A9FB0F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1846786" w14:textId="40853895" w:rsidR="0059559F" w:rsidRP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1A5D6ED6" w14:textId="40A31D15" w:rsidR="0059559F" w:rsidRP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14C75F51" w14:textId="7E737EA4" w:rsidR="0059559F" w:rsidRPr="0059559F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6A914ACF" w14:textId="4A303ECB" w:rsidR="0059559F" w:rsidRPr="009667B1" w:rsidRDefault="0059559F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>
        <w:rPr>
          <w:rStyle w:val="Tun"/>
          <w:b w:val="0"/>
          <w:bCs/>
        </w:rPr>
        <w:t>n</w:t>
      </w:r>
      <w:r w:rsidRPr="0059559F">
        <w:rPr>
          <w:rStyle w:val="Tun"/>
          <w:b w:val="0"/>
          <w:bCs/>
        </w:rPr>
        <w:t>eobsazeno</w:t>
      </w:r>
    </w:p>
    <w:p w14:paraId="3A381931" w14:textId="321D3526" w:rsidR="00DD3D78" w:rsidRPr="00DD3D78" w:rsidRDefault="00DD3D78" w:rsidP="00DD3D78">
      <w:pPr>
        <w:pStyle w:val="Nadpis2-2"/>
      </w:pPr>
      <w:bookmarkStart w:id="90" w:name="_Toc143854356"/>
      <w:r w:rsidRPr="00DD3D78">
        <w:t>Materiál dodávaný objednatelem (mimo CNM)</w:t>
      </w:r>
      <w:bookmarkEnd w:id="90"/>
    </w:p>
    <w:p w14:paraId="206C3CB0" w14:textId="736017C3" w:rsidR="00DD3D78" w:rsidRPr="00722BEB" w:rsidRDefault="0059559F" w:rsidP="00722BEB">
      <w:pPr>
        <w:pStyle w:val="Text2-1"/>
      </w:pPr>
      <w:r w:rsidRPr="00722BEB">
        <w:t>Objednatel poskytne zhotoviteli bezplatně níže uvedený materiál</w:t>
      </w:r>
      <w:r>
        <w:t xml:space="preserve"> včetně kódů položek s výčtem příslušných stavebních objektů nebo provozních souborů, které jsou uvedeny v Soupisu prací s výkazem výměr</w:t>
      </w:r>
      <w:r w:rsidR="00722BEB" w:rsidRPr="00722BEB">
        <w:t xml:space="preserve">. </w:t>
      </w:r>
    </w:p>
    <w:p w14:paraId="29B0B1C2" w14:textId="6AE2C30A" w:rsidR="001E52E1" w:rsidRDefault="00D82632" w:rsidP="001E52E1">
      <w:pPr>
        <w:pStyle w:val="Text2-1"/>
      </w:pPr>
      <w:r>
        <w:t>Rozsah materiálu (typ a množství) je následující:</w:t>
      </w:r>
    </w:p>
    <w:tbl>
      <w:tblPr>
        <w:tblStyle w:val="Mkatabulky"/>
        <w:tblW w:w="8811" w:type="dxa"/>
        <w:tblLook w:val="04A0" w:firstRow="1" w:lastRow="0" w:firstColumn="1" w:lastColumn="0" w:noHBand="0" w:noVBand="1"/>
      </w:tblPr>
      <w:tblGrid>
        <w:gridCol w:w="6677"/>
        <w:gridCol w:w="496"/>
        <w:gridCol w:w="1638"/>
      </w:tblGrid>
      <w:tr w:rsidR="001E52E1" w:rsidRPr="001E52E1" w14:paraId="44A5C886" w14:textId="77777777" w:rsidTr="004351ED">
        <w:trPr>
          <w:trHeight w:val="202"/>
        </w:trPr>
        <w:tc>
          <w:tcPr>
            <w:tcW w:w="6677" w:type="dxa"/>
            <w:shd w:val="clear" w:color="auto" w:fill="auto"/>
            <w:hideMark/>
          </w:tcPr>
          <w:p w14:paraId="7AA01E1D" w14:textId="77777777" w:rsidR="001E52E1" w:rsidRPr="001E52E1" w:rsidRDefault="001E52E1" w:rsidP="001E52E1">
            <w:pPr>
              <w:pStyle w:val="Text2-1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1E52E1">
              <w:rPr>
                <w:sz w:val="16"/>
                <w:szCs w:val="16"/>
              </w:rPr>
              <w:t>Pražcové kotvy TDHB pro pražec betonový B 91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14:paraId="6BB0390A" w14:textId="77777777" w:rsidR="001E52E1" w:rsidRPr="001E52E1" w:rsidRDefault="001E52E1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rPr>
                <w:sz w:val="16"/>
                <w:szCs w:val="16"/>
              </w:rPr>
            </w:pPr>
            <w:r w:rsidRPr="001E52E1">
              <w:rPr>
                <w:sz w:val="16"/>
                <w:szCs w:val="16"/>
              </w:rPr>
              <w:t>kus</w:t>
            </w:r>
          </w:p>
        </w:tc>
        <w:tc>
          <w:tcPr>
            <w:tcW w:w="1638" w:type="dxa"/>
            <w:shd w:val="clear" w:color="auto" w:fill="auto"/>
            <w:noWrap/>
            <w:hideMark/>
          </w:tcPr>
          <w:p w14:paraId="6289343C" w14:textId="21FB2259" w:rsidR="001E52E1" w:rsidRPr="001E52E1" w:rsidRDefault="001E52E1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jc w:val="right"/>
              <w:rPr>
                <w:sz w:val="16"/>
                <w:szCs w:val="16"/>
              </w:rPr>
            </w:pPr>
            <w:r w:rsidRPr="001E52E1">
              <w:rPr>
                <w:sz w:val="16"/>
                <w:szCs w:val="16"/>
              </w:rPr>
              <w:t>2 148</w:t>
            </w:r>
          </w:p>
        </w:tc>
      </w:tr>
      <w:tr w:rsidR="00857510" w:rsidRPr="001E52E1" w14:paraId="7C4D5FB0" w14:textId="77777777" w:rsidTr="004351ED">
        <w:trPr>
          <w:trHeight w:val="137"/>
        </w:trPr>
        <w:tc>
          <w:tcPr>
            <w:tcW w:w="6677" w:type="dxa"/>
            <w:shd w:val="clear" w:color="auto" w:fill="auto"/>
            <w:vAlign w:val="center"/>
          </w:tcPr>
          <w:p w14:paraId="7FE577BC" w14:textId="77777777" w:rsidR="00857510" w:rsidRDefault="00857510" w:rsidP="00857510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jc w:val="left"/>
              <w:rPr>
                <w:sz w:val="16"/>
                <w:szCs w:val="16"/>
              </w:rPr>
            </w:pPr>
            <w:r w:rsidRPr="00857510">
              <w:rPr>
                <w:sz w:val="16"/>
                <w:szCs w:val="16"/>
              </w:rPr>
              <w:t>Pražec betonový výhybkový 00-001, 8-mi děrový vystrojený podkladnicemi s</w:t>
            </w:r>
          </w:p>
          <w:p w14:paraId="108D7015" w14:textId="68C176E4" w:rsidR="00857510" w:rsidRPr="001E52E1" w:rsidRDefault="00857510" w:rsidP="00857510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jc w:val="left"/>
              <w:rPr>
                <w:sz w:val="16"/>
                <w:szCs w:val="16"/>
              </w:rPr>
            </w:pPr>
            <w:r w:rsidRPr="00857510">
              <w:rPr>
                <w:sz w:val="16"/>
                <w:szCs w:val="16"/>
              </w:rPr>
              <w:t>rozšířením 15 mm s úklonem 1:40</w:t>
            </w:r>
          </w:p>
        </w:tc>
        <w:tc>
          <w:tcPr>
            <w:tcW w:w="496" w:type="dxa"/>
            <w:shd w:val="clear" w:color="auto" w:fill="auto"/>
            <w:noWrap/>
          </w:tcPr>
          <w:p w14:paraId="1D1199D1" w14:textId="37D3713D" w:rsidR="00857510" w:rsidRPr="001E52E1" w:rsidRDefault="00857510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kus</w:t>
            </w:r>
          </w:p>
        </w:tc>
        <w:tc>
          <w:tcPr>
            <w:tcW w:w="1638" w:type="dxa"/>
            <w:shd w:val="clear" w:color="auto" w:fill="auto"/>
            <w:noWrap/>
          </w:tcPr>
          <w:p w14:paraId="4746A5A4" w14:textId="497ADC55" w:rsidR="00857510" w:rsidRPr="001E52E1" w:rsidRDefault="00857510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857510" w:rsidRPr="001E52E1" w14:paraId="6A57C4AF" w14:textId="77777777" w:rsidTr="004351ED">
        <w:trPr>
          <w:trHeight w:val="137"/>
        </w:trPr>
        <w:tc>
          <w:tcPr>
            <w:tcW w:w="6677" w:type="dxa"/>
            <w:shd w:val="clear" w:color="auto" w:fill="auto"/>
          </w:tcPr>
          <w:p w14:paraId="6C87D711" w14:textId="77777777" w:rsidR="00857510" w:rsidRDefault="00857510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rPr>
                <w:sz w:val="16"/>
                <w:szCs w:val="16"/>
              </w:rPr>
            </w:pPr>
            <w:r w:rsidRPr="00857510">
              <w:rPr>
                <w:sz w:val="16"/>
                <w:szCs w:val="16"/>
              </w:rPr>
              <w:t>Pražec betonový výhybkový 00-001, 8-mi děrový vystrojený podkladnicemi s</w:t>
            </w:r>
          </w:p>
          <w:p w14:paraId="5A51B43D" w14:textId="2E8EAC44" w:rsidR="00857510" w:rsidRPr="001E52E1" w:rsidRDefault="00857510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rPr>
                <w:sz w:val="16"/>
                <w:szCs w:val="16"/>
              </w:rPr>
            </w:pPr>
            <w:r w:rsidRPr="00857510">
              <w:rPr>
                <w:sz w:val="16"/>
                <w:szCs w:val="16"/>
              </w:rPr>
              <w:t>úklonem 1:40</w:t>
            </w:r>
          </w:p>
        </w:tc>
        <w:tc>
          <w:tcPr>
            <w:tcW w:w="496" w:type="dxa"/>
            <w:shd w:val="clear" w:color="auto" w:fill="auto"/>
            <w:noWrap/>
          </w:tcPr>
          <w:p w14:paraId="0B7C6380" w14:textId="136DFEB8" w:rsidR="00857510" w:rsidRPr="001E52E1" w:rsidRDefault="00857510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kus</w:t>
            </w:r>
          </w:p>
        </w:tc>
        <w:tc>
          <w:tcPr>
            <w:tcW w:w="1638" w:type="dxa"/>
            <w:shd w:val="clear" w:color="auto" w:fill="auto"/>
            <w:noWrap/>
          </w:tcPr>
          <w:p w14:paraId="3E01E916" w14:textId="0D0EA5BC" w:rsidR="00857510" w:rsidRPr="001E52E1" w:rsidRDefault="00857510" w:rsidP="001E52E1">
            <w:pPr>
              <w:pStyle w:val="Text2-1"/>
              <w:numPr>
                <w:ilvl w:val="0"/>
                <w:numId w:val="0"/>
              </w:numPr>
              <w:spacing w:after="0"/>
              <w:ind w:left="737" w:hanging="73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</w:tbl>
    <w:p w14:paraId="4B7BB1CA" w14:textId="072175CB" w:rsidR="00D82632" w:rsidRDefault="00D82632" w:rsidP="00D82632">
      <w:pPr>
        <w:pStyle w:val="Text2-1"/>
        <w:numPr>
          <w:ilvl w:val="0"/>
          <w:numId w:val="0"/>
        </w:numPr>
        <w:ind w:left="737"/>
      </w:pPr>
    </w:p>
    <w:p w14:paraId="098B21F4" w14:textId="67DAAF15" w:rsidR="00DD3D78" w:rsidRDefault="00DD3D78" w:rsidP="0059559F">
      <w:pPr>
        <w:pStyle w:val="Text2-1"/>
        <w:numPr>
          <w:ilvl w:val="0"/>
          <w:numId w:val="0"/>
        </w:numPr>
        <w:ind w:left="737"/>
      </w:pPr>
      <w:r>
        <w:lastRenderedPageBreak/>
        <w:t xml:space="preserve">Výše uvedený materiál není </w:t>
      </w:r>
      <w:r w:rsidRPr="00952596">
        <w:t>součástí dodávky na zhotovení stavby a ne</w:t>
      </w:r>
      <w:r>
        <w:t xml:space="preserve">ní </w:t>
      </w:r>
      <w:r w:rsidRPr="00952596">
        <w:t xml:space="preserve">součástí nákladů stavby. </w:t>
      </w:r>
    </w:p>
    <w:p w14:paraId="39AB176B" w14:textId="51DED0ED" w:rsidR="00DD3D78" w:rsidRPr="00722BEB" w:rsidRDefault="00DD3D78" w:rsidP="00DD3D78">
      <w:pPr>
        <w:pStyle w:val="Text2-1"/>
      </w:pPr>
      <w:r w:rsidRPr="00722BEB">
        <w:t>Místo předání materiálu:</w:t>
      </w:r>
      <w:r w:rsidR="00722BEB">
        <w:t xml:space="preserve"> </w:t>
      </w:r>
      <w:r w:rsidR="00C85ED3" w:rsidRPr="004A766C">
        <w:t>Betonové pražce</w:t>
      </w:r>
      <w:r w:rsidR="004351ED">
        <w:t xml:space="preserve"> v</w:t>
      </w:r>
      <w:r w:rsidR="00C85ED3" w:rsidRPr="004A766C">
        <w:t xml:space="preserve"> </w:t>
      </w:r>
      <w:r w:rsidR="00C85ED3" w:rsidRPr="001E52E1">
        <w:t xml:space="preserve">ŽPSV </w:t>
      </w:r>
      <w:r w:rsidR="004351ED" w:rsidRPr="001E52E1">
        <w:t>závod</w:t>
      </w:r>
      <w:r w:rsidR="004351ED">
        <w:t xml:space="preserve"> </w:t>
      </w:r>
      <w:r w:rsidR="004A766C">
        <w:t>Doloplazy</w:t>
      </w:r>
      <w:r w:rsidR="00C85ED3">
        <w:t>; ostatní materiál</w:t>
      </w:r>
      <w:r w:rsidR="004351ED">
        <w:t xml:space="preserve"> v</w:t>
      </w:r>
      <w:r w:rsidR="00C85ED3">
        <w:t xml:space="preserve"> žst. Újezdec u Luh.</w:t>
      </w:r>
    </w:p>
    <w:p w14:paraId="188B588A" w14:textId="77777777" w:rsidR="00DF7BAA" w:rsidRDefault="00DF7BAA" w:rsidP="00DF7BAA">
      <w:pPr>
        <w:pStyle w:val="Nadpis2-1"/>
      </w:pPr>
      <w:bookmarkStart w:id="91" w:name="_Toc6410460"/>
      <w:bookmarkStart w:id="92" w:name="_Toc143854357"/>
      <w:r w:rsidRPr="00EC2E51">
        <w:t>ORGANIZACE</w:t>
      </w:r>
      <w:r>
        <w:t xml:space="preserve"> VÝSTAVBY, VÝLUKY</w:t>
      </w:r>
      <w:bookmarkEnd w:id="91"/>
      <w:bookmarkEnd w:id="92"/>
    </w:p>
    <w:p w14:paraId="076C821C" w14:textId="780911D2" w:rsidR="0059559F" w:rsidRDefault="0059559F" w:rsidP="00DF7BAA">
      <w:pPr>
        <w:pStyle w:val="Text2-1"/>
      </w:pPr>
      <w:r w:rsidRPr="003B426C">
        <w:t>Rozhodující milníky doporučeného časového harmonogramu: Při zpracování harmonogramu je nutné vycházet z jednotlivých stavebních postupů</w:t>
      </w:r>
      <w:r w:rsidRPr="0059559F">
        <w:t>,  dodržet množství a délku předjednaných výluk.</w:t>
      </w:r>
    </w:p>
    <w:p w14:paraId="28DBDFE4" w14:textId="611789E0" w:rsidR="0059559F" w:rsidRPr="0059559F" w:rsidRDefault="0059559F" w:rsidP="00DF7BAA">
      <w:pPr>
        <w:pStyle w:val="Text2-1"/>
      </w:pPr>
      <w:r w:rsidRPr="0059559F">
        <w:t>Zhotovitel se zavazuje považovat zde uvedené množství a délku výluk za maximální.</w:t>
      </w:r>
    </w:p>
    <w:p w14:paraId="0587D65B" w14:textId="281176A6" w:rsidR="00DF7BAA" w:rsidRPr="00EC02A5" w:rsidRDefault="0059559F" w:rsidP="00DF7BAA">
      <w:pPr>
        <w:pStyle w:val="Text2-1"/>
      </w:pPr>
      <w:r w:rsidRPr="003B426C">
        <w:t>Závazným pro Zhotovitele jsou níže uvedené termíny a rozsah výluk (jsou-li nastaveny), které jsou uvedeny v následující tabulce (uvedené milníky musí korespondovat s požadavkem na doložení Harmonogramu postupu prací dle Zadávací dokumentace – dle čl. 9.1, třetí odrážka Dílu 1 Zadávací dokumentace - Výzva k podání nabídky):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B834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2F6585" w14:textId="77777777" w:rsidR="009D623F" w:rsidRPr="00C85ED3" w:rsidRDefault="009D623F" w:rsidP="0002279D">
            <w:pPr>
              <w:pStyle w:val="Tabulka-7"/>
              <w:rPr>
                <w:b/>
              </w:rPr>
            </w:pPr>
            <w:r w:rsidRPr="00C85ED3">
              <w:rPr>
                <w:b/>
              </w:rPr>
              <w:t>Postup</w:t>
            </w:r>
          </w:p>
        </w:tc>
        <w:tc>
          <w:tcPr>
            <w:tcW w:w="30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565737" w14:textId="77777777" w:rsidR="009D623F" w:rsidRPr="00C85ED3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85ED3">
              <w:rPr>
                <w:b/>
              </w:rPr>
              <w:t>Činnosti</w:t>
            </w:r>
          </w:p>
        </w:tc>
        <w:tc>
          <w:tcPr>
            <w:tcW w:w="1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D5C9FC9" w14:textId="77777777" w:rsidR="009D623F" w:rsidRPr="00C85ED3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85ED3">
              <w:rPr>
                <w:b/>
              </w:rPr>
              <w:t>Typ výluky</w:t>
            </w:r>
          </w:p>
        </w:tc>
        <w:tc>
          <w:tcPr>
            <w:tcW w:w="1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56AD4CF" w14:textId="77777777" w:rsidR="009D623F" w:rsidRPr="00C85ED3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85ED3">
              <w:rPr>
                <w:b/>
              </w:rPr>
              <w:t>Doba</w:t>
            </w:r>
            <w:r w:rsidR="00756A89" w:rsidRPr="00C85ED3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B834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C85ED3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C85ED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ED3">
              <w:t>Zahájení stavby</w:t>
            </w:r>
            <w:r w:rsidR="008B4F46" w:rsidRPr="00C85ED3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C85ED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14004309" w:rsidR="008B4F46" w:rsidRPr="00C85ED3" w:rsidRDefault="00C85ED3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85ED3">
              <w:rPr>
                <w:sz w:val="14"/>
              </w:rPr>
              <w:t>D</w:t>
            </w:r>
            <w:r w:rsidR="008B4F46" w:rsidRPr="00C85ED3">
              <w:rPr>
                <w:sz w:val="14"/>
              </w:rPr>
              <w:t>o</w:t>
            </w:r>
            <w:r w:rsidRPr="00C85ED3">
              <w:rPr>
                <w:sz w:val="14"/>
              </w:rPr>
              <w:t xml:space="preserve"> 10</w:t>
            </w:r>
            <w:r w:rsidR="008B4F46" w:rsidRPr="00C85ED3">
              <w:rPr>
                <w:sz w:val="14"/>
              </w:rPr>
              <w:t xml:space="preserve"> pracovních dnů od účinnosti smlouvy</w:t>
            </w:r>
          </w:p>
          <w:p w14:paraId="5BAE7785" w14:textId="235FAA01" w:rsidR="00580BF5" w:rsidRPr="00C85ED3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85ED3">
              <w:rPr>
                <w:sz w:val="14"/>
              </w:rPr>
              <w:t xml:space="preserve">(předpoklad </w:t>
            </w:r>
            <w:r w:rsidR="00C85ED3" w:rsidRPr="00C85ED3">
              <w:rPr>
                <w:sz w:val="14"/>
              </w:rPr>
              <w:t>září</w:t>
            </w:r>
            <w:r w:rsidR="00580BF5" w:rsidRPr="00C85ED3">
              <w:rPr>
                <w:sz w:val="14"/>
              </w:rPr>
              <w:t xml:space="preserve"> 20</w:t>
            </w:r>
            <w:r w:rsidRPr="00C85ED3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B834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62FA09E7" w:rsidR="00580BF5" w:rsidRPr="00C85ED3" w:rsidRDefault="00580BF5" w:rsidP="00580BF5">
            <w:pPr>
              <w:pStyle w:val="Tabulka-7"/>
            </w:pPr>
            <w:r w:rsidRPr="00C85ED3">
              <w:t>1. Etapa</w:t>
            </w:r>
          </w:p>
        </w:tc>
        <w:tc>
          <w:tcPr>
            <w:tcW w:w="3073" w:type="dxa"/>
          </w:tcPr>
          <w:p w14:paraId="68FF7475" w14:textId="77777777" w:rsidR="00580BF5" w:rsidRPr="00C85ED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ED3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C85ED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ED3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7D692254" w:rsidR="00580BF5" w:rsidRPr="00C85ED3" w:rsidRDefault="00C85ED3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85ED3">
              <w:rPr>
                <w:sz w:val="14"/>
              </w:rPr>
              <w:t>říjen</w:t>
            </w:r>
            <w:r w:rsidR="00580BF5" w:rsidRPr="00C85ED3">
              <w:rPr>
                <w:sz w:val="14"/>
              </w:rPr>
              <w:t xml:space="preserve"> 20</w:t>
            </w:r>
            <w:r w:rsidR="008B4F46" w:rsidRPr="00C85ED3">
              <w:rPr>
                <w:sz w:val="14"/>
              </w:rPr>
              <w:t>23</w:t>
            </w:r>
          </w:p>
        </w:tc>
      </w:tr>
      <w:tr w:rsidR="00C85ED3" w:rsidRPr="00404F88" w14:paraId="56FD3A61" w14:textId="77777777" w:rsidTr="00B834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50DE3A36" w14:textId="3B07D4BE" w:rsidR="00C85ED3" w:rsidRPr="00C85ED3" w:rsidRDefault="00C85ED3" w:rsidP="00C85ED3">
            <w:pPr>
              <w:pStyle w:val="Tabulka-7"/>
            </w:pPr>
            <w:r w:rsidRPr="00C85ED3">
              <w:t>2. Etapa</w:t>
            </w:r>
          </w:p>
        </w:tc>
        <w:tc>
          <w:tcPr>
            <w:tcW w:w="3073" w:type="dxa"/>
            <w:vAlign w:val="top"/>
          </w:tcPr>
          <w:p w14:paraId="786C1D3A" w14:textId="69481F78" w:rsidR="00C85ED3" w:rsidRPr="00C85ED3" w:rsidRDefault="00C85ED3" w:rsidP="00C85E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ED3">
              <w:t>Provedení SO 01 a SO 02</w:t>
            </w:r>
          </w:p>
        </w:tc>
        <w:tc>
          <w:tcPr>
            <w:tcW w:w="1694" w:type="dxa"/>
          </w:tcPr>
          <w:p w14:paraId="66AA44B0" w14:textId="509EBDD1" w:rsidR="00C85ED3" w:rsidRPr="00C85ED3" w:rsidRDefault="00C85ED3" w:rsidP="00C85E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ED3">
              <w:t>24N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49B75321" w:rsidR="00C85ED3" w:rsidRPr="00C85ED3" w:rsidRDefault="00C85ED3" w:rsidP="00C85ED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85ED3">
              <w:rPr>
                <w:sz w:val="14"/>
              </w:rPr>
              <w:t>18. 10. – 10. 11. 2023</w:t>
            </w:r>
          </w:p>
        </w:tc>
      </w:tr>
      <w:tr w:rsidR="00C85ED3" w:rsidRPr="00404F88" w14:paraId="3851B7D4" w14:textId="77777777" w:rsidTr="00B834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C85ED3" w:rsidRPr="00C85ED3" w:rsidRDefault="00C85ED3" w:rsidP="00C85ED3">
            <w:pPr>
              <w:pStyle w:val="Tabulka-7"/>
            </w:pPr>
            <w:r w:rsidRPr="00C85ED3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C85ED3" w:rsidRPr="00C85ED3" w:rsidDel="00055752" w:rsidRDefault="00C85ED3" w:rsidP="00C85E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C85ED3" w:rsidRPr="00C85ED3" w:rsidRDefault="00C85ED3" w:rsidP="00C85E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1383C0C8" w:rsidR="00C85ED3" w:rsidRPr="00C85ED3" w:rsidRDefault="00C85ED3" w:rsidP="00C85ED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85ED3">
              <w:rPr>
                <w:sz w:val="14"/>
              </w:rPr>
              <w:t>do 5 měsíců ode dne zahájení stavby</w:t>
            </w:r>
          </w:p>
        </w:tc>
      </w:tr>
      <w:tr w:rsidR="00C85ED3" w:rsidRPr="00404F88" w14:paraId="5885C96E" w14:textId="77777777" w:rsidTr="00B834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C85ED3" w:rsidRPr="00C85ED3" w:rsidRDefault="00C85ED3" w:rsidP="00C85ED3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C85ED3" w:rsidRPr="00C85ED3" w:rsidRDefault="00C85ED3" w:rsidP="00C85E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5ED3">
              <w:t>Dokončení Díla</w:t>
            </w:r>
          </w:p>
        </w:tc>
        <w:tc>
          <w:tcPr>
            <w:tcW w:w="1694" w:type="dxa"/>
          </w:tcPr>
          <w:p w14:paraId="6475AD07" w14:textId="77777777" w:rsidR="00C85ED3" w:rsidRPr="00C85ED3" w:rsidRDefault="00C85ED3" w:rsidP="00C85E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2F224574" w:rsidR="00C85ED3" w:rsidRPr="00C85ED3" w:rsidRDefault="00C85ED3" w:rsidP="00C85ED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85ED3">
              <w:rPr>
                <w:sz w:val="14"/>
              </w:rPr>
              <w:t>Do 5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93" w:name="_Toc6410461"/>
      <w:bookmarkStart w:id="94" w:name="_Toc143854358"/>
      <w:r w:rsidRPr="00EC2E51">
        <w:t>SOUVISEJÍCÍ</w:t>
      </w:r>
      <w:r>
        <w:t xml:space="preserve"> DOKUMENTY A PŘEDPISY</w:t>
      </w:r>
      <w:bookmarkEnd w:id="93"/>
      <w:bookmarkEnd w:id="94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6A93377E" w:rsidR="00024EF0" w:rsidRPr="00B834ED" w:rsidRDefault="00024EF0" w:rsidP="00B834ED">
      <w:pPr>
        <w:pStyle w:val="Textbezslovn"/>
        <w:rPr>
          <w:b/>
        </w:rPr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="00B834ED">
        <w:rPr>
          <w:spacing w:val="2"/>
        </w:rPr>
        <w:t xml:space="preserve"> </w:t>
      </w:r>
      <w:r w:rsidRPr="00A568D2">
        <w:t xml:space="preserve">a </w:t>
      </w:r>
      <w:hyperlink r:id="rId13" w:history="1">
        <w:r w:rsidR="00B834ED" w:rsidRPr="0062334F">
          <w:rPr>
            <w:rStyle w:val="Hypertextovodkaz"/>
            <w:b/>
            <w:noProof w:val="0"/>
          </w:rPr>
          <w:t>https://typdok.tudc.cz/</w:t>
        </w:r>
      </w:hyperlink>
      <w:r w:rsidR="00B834ED">
        <w:rPr>
          <w:b/>
        </w:rPr>
        <w:t xml:space="preserve"> v</w:t>
      </w:r>
      <w:r w:rsidRPr="00A568D2">
        <w:rPr>
          <w:b/>
        </w:rPr>
        <w:t xml:space="preserve">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2BEA4F12" w:rsidR="00EF61C8" w:rsidRPr="00E85446" w:rsidRDefault="0059559F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3DE09902" w:rsidR="009C4EEA" w:rsidRDefault="009C4EEA" w:rsidP="009C4EEA">
      <w:pPr>
        <w:pStyle w:val="Textbezslovn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4" w:history="1">
        <w:r w:rsidR="00B834ED" w:rsidRPr="0062334F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39CE97AB" w:rsidR="009C4EEA" w:rsidRDefault="009C4EEA" w:rsidP="009C4EEA">
      <w:pPr>
        <w:pStyle w:val="Textbezslovn"/>
      </w:pPr>
      <w:r>
        <w:t xml:space="preserve">Ceníky: </w:t>
      </w:r>
      <w:hyperlink r:id="rId15" w:history="1">
        <w:r w:rsidR="00B834ED" w:rsidRPr="0062334F">
          <w:rPr>
            <w:rStyle w:val="Hypertextovodkaz"/>
            <w:noProof w:val="0"/>
          </w:rPr>
          <w:t>https://typdok.tudc.cz/</w:t>
        </w:r>
      </w:hyperlink>
    </w:p>
    <w:p w14:paraId="199FDAEA" w14:textId="77777777" w:rsidR="00DF7BAA" w:rsidRDefault="00DF7BAA" w:rsidP="00DF7BAA">
      <w:pPr>
        <w:pStyle w:val="Nadpis2-1"/>
      </w:pPr>
      <w:bookmarkStart w:id="95" w:name="_Toc6410462"/>
      <w:bookmarkStart w:id="96" w:name="_Toc143854359"/>
      <w:r>
        <w:lastRenderedPageBreak/>
        <w:t>PŘÍLOHY</w:t>
      </w:r>
      <w:bookmarkEnd w:id="95"/>
      <w:bookmarkEnd w:id="96"/>
    </w:p>
    <w:p w14:paraId="6ED42186" w14:textId="6FA28FE6" w:rsidR="00B24A31" w:rsidRDefault="00B24A31" w:rsidP="00B24A31">
      <w:pPr>
        <w:pStyle w:val="Text2-1"/>
      </w:pPr>
      <w:r>
        <w:t>P1 ZTP</w:t>
      </w:r>
    </w:p>
    <w:p w14:paraId="23946C0A" w14:textId="5B17042B" w:rsidR="00B24A31" w:rsidRDefault="00B24A31" w:rsidP="000E6BDE">
      <w:pPr>
        <w:pStyle w:val="Text2-1"/>
        <w:numPr>
          <w:ilvl w:val="0"/>
          <w:numId w:val="0"/>
        </w:numPr>
        <w:ind w:left="737"/>
      </w:pPr>
      <w:r w:rsidRPr="00C23F3B">
        <w:t>Dopis Ředitele O13, čj. 168954/2021-SŽ-GŘ-O13, Zajištění prostorové polohy na  neelektrizovaných tratích SŽ, ze dne 7. 12. 2021, včetně přílohy k dopisu č. 2.</w:t>
      </w:r>
    </w:p>
    <w:p w14:paraId="38C623E6" w14:textId="52A6BE45" w:rsidR="00CA7A79" w:rsidRDefault="00CA7A79" w:rsidP="00CA7A79">
      <w:pPr>
        <w:pStyle w:val="Text2-1"/>
      </w:pPr>
      <w:r>
        <w:t>P</w:t>
      </w:r>
      <w:r w:rsidR="00B24A31">
        <w:t>2</w:t>
      </w:r>
      <w:r>
        <w:t xml:space="preserve"> ZTP:</w:t>
      </w:r>
    </w:p>
    <w:p w14:paraId="241F985A" w14:textId="62557E25" w:rsidR="00DF7BAA" w:rsidRDefault="004B547F" w:rsidP="00CA7A79">
      <w:pPr>
        <w:pStyle w:val="Odrka1-2-"/>
        <w:tabs>
          <w:tab w:val="clear" w:pos="1531"/>
          <w:tab w:val="num" w:pos="1276"/>
        </w:tabs>
      </w:pPr>
      <w:r>
        <w:t>P</w:t>
      </w:r>
      <w:r w:rsidR="001374F3" w:rsidRPr="001374F3">
        <w:t>1</w:t>
      </w:r>
      <w:r w:rsidR="009B36EC">
        <w:t>a</w:t>
      </w:r>
      <w:r w:rsidR="001374F3" w:rsidRPr="001374F3">
        <w:t xml:space="preserve"> - kladečský plán pražců</w:t>
      </w:r>
    </w:p>
    <w:p w14:paraId="1654641B" w14:textId="388D0319" w:rsidR="001374F3" w:rsidRDefault="004B547F" w:rsidP="00CA7A79">
      <w:pPr>
        <w:pStyle w:val="Odrka1-2-"/>
        <w:tabs>
          <w:tab w:val="clear" w:pos="1531"/>
          <w:tab w:val="num" w:pos="1134"/>
        </w:tabs>
        <w:ind w:left="1276" w:hanging="199"/>
      </w:pPr>
      <w:r>
        <w:t>P</w:t>
      </w:r>
      <w:r w:rsidR="009B36EC">
        <w:t>1b</w:t>
      </w:r>
      <w:r w:rsidR="001374F3" w:rsidRPr="001374F3">
        <w:t xml:space="preserve"> </w:t>
      </w:r>
      <w:r w:rsidR="001374F3">
        <w:t>–</w:t>
      </w:r>
      <w:r w:rsidR="001374F3" w:rsidRPr="001374F3">
        <w:t xml:space="preserve"> </w:t>
      </w:r>
      <w:r w:rsidR="001374F3">
        <w:t>schéma výměny kolejnic</w:t>
      </w:r>
      <w:r w:rsidR="00B834ED">
        <w:t xml:space="preserve"> (úsek Biskupice)</w:t>
      </w:r>
    </w:p>
    <w:p w14:paraId="04F493C5" w14:textId="2A755509" w:rsidR="00B834ED" w:rsidRDefault="004B547F" w:rsidP="00CA7A79">
      <w:pPr>
        <w:pStyle w:val="Odrka1-2-"/>
        <w:tabs>
          <w:tab w:val="clear" w:pos="1531"/>
          <w:tab w:val="num" w:pos="1134"/>
        </w:tabs>
        <w:ind w:left="1276" w:hanging="199"/>
      </w:pPr>
      <w:r>
        <w:t>P</w:t>
      </w:r>
      <w:r w:rsidR="009B36EC">
        <w:t>1c</w:t>
      </w:r>
      <w:r w:rsidR="00B834ED">
        <w:t xml:space="preserve"> – schéma výměny kolejnic (úsek Luhačovice)</w:t>
      </w:r>
    </w:p>
    <w:p w14:paraId="79F43F47" w14:textId="05E3FDC1" w:rsidR="004B547F" w:rsidRPr="00C23F3B" w:rsidRDefault="004B547F" w:rsidP="00B24A31">
      <w:pPr>
        <w:pStyle w:val="Odrka1-2-"/>
        <w:numPr>
          <w:ilvl w:val="0"/>
          <w:numId w:val="0"/>
        </w:numPr>
        <w:ind w:left="1276"/>
      </w:pPr>
    </w:p>
    <w:p w14:paraId="3990FB45" w14:textId="77777777" w:rsidR="001374F3" w:rsidRPr="00DF7BAA" w:rsidRDefault="001374F3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D169FC" w:rsidRDefault="00D169FC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D169FC" w:rsidRDefault="00D16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169FC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440BE1E5" w:rsidR="00D169FC" w:rsidRPr="00B8518B" w:rsidRDefault="00D169FC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5B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5BEB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DF61062" w:rsidR="00D169FC" w:rsidRDefault="0059559F" w:rsidP="003462EB">
          <w:pPr>
            <w:pStyle w:val="Zpatvlevo"/>
          </w:pPr>
          <w:r w:rsidRPr="0059559F">
            <w:t>Oprava trati v úseku Újezdec u Luhačovic - Luhačovice</w:t>
          </w:r>
          <w:fldSimple w:instr=" STYLEREF  _Název_akce  \* MERGEFORMAT ">
            <w:r w:rsidR="000E6BDE">
              <w:rPr>
                <w:noProof/>
              </w:rPr>
              <w:cr/>
            </w:r>
          </w:fldSimple>
          <w:r w:rsidR="00D169FC">
            <w:t>Příloha č. 2 b)</w:t>
          </w:r>
          <w:r w:rsidR="00D169FC" w:rsidRPr="003462EB">
            <w:t xml:space="preserve"> </w:t>
          </w:r>
        </w:p>
        <w:p w14:paraId="178E0553" w14:textId="5BDB502B" w:rsidR="00D169FC" w:rsidRPr="003462EB" w:rsidRDefault="00D169FC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</w:t>
          </w:r>
          <w:r w:rsidR="0059559F">
            <w:t>1007</w:t>
          </w:r>
          <w:r>
            <w:t xml:space="preserve">2023 </w:t>
          </w:r>
        </w:p>
      </w:tc>
    </w:tr>
  </w:tbl>
  <w:p w14:paraId="422A1078" w14:textId="77777777" w:rsidR="00D169FC" w:rsidRPr="00614E71" w:rsidRDefault="00D169F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169FC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0970AE6" w14:textId="4AC63CF5" w:rsidR="0059559F" w:rsidRDefault="00C65789" w:rsidP="003B111D">
          <w:pPr>
            <w:pStyle w:val="Zpatvpravo"/>
            <w:rPr>
              <w:noProof/>
            </w:rPr>
          </w:pPr>
          <w:fldSimple w:instr=" STYLEREF  _Název_akce  \* MERGEFORMAT ">
            <w:r w:rsidR="000E6BDE">
              <w:rPr>
                <w:noProof/>
              </w:rPr>
              <w:cr/>
            </w:r>
          </w:fldSimple>
          <w:r w:rsidR="0059559F" w:rsidRPr="0059559F">
            <w:rPr>
              <w:noProof/>
            </w:rPr>
            <w:t>Oprava trati v úseku Újezdec u Luhačovic - Luhačovice</w:t>
          </w:r>
        </w:p>
        <w:p w14:paraId="7B4693AA" w14:textId="2A072EB1" w:rsidR="00D169FC" w:rsidRDefault="00D169FC" w:rsidP="003B111D">
          <w:pPr>
            <w:pStyle w:val="Zpatvpravo"/>
          </w:pPr>
          <w:r>
            <w:t>Příloha č. 2 b)</w:t>
          </w:r>
        </w:p>
        <w:p w14:paraId="5D9BD160" w14:textId="6F0478D1" w:rsidR="00D169FC" w:rsidRPr="003462EB" w:rsidRDefault="00D169FC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</w:t>
          </w:r>
          <w:r w:rsidR="0059559F">
            <w:t>1007</w:t>
          </w:r>
          <w:r>
            <w:t xml:space="preserve">2023 </w:t>
          </w:r>
        </w:p>
      </w:tc>
      <w:tc>
        <w:tcPr>
          <w:tcW w:w="935" w:type="dxa"/>
          <w:vAlign w:val="bottom"/>
        </w:tcPr>
        <w:p w14:paraId="3DBC2A04" w14:textId="0C56435D" w:rsidR="00D169FC" w:rsidRPr="009E09BE" w:rsidRDefault="00D169FC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5BEB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5BEB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D169FC" w:rsidRPr="00B8518B" w:rsidRDefault="00D169F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D169FC" w:rsidRPr="00B8518B" w:rsidRDefault="00D169FC" w:rsidP="00460660">
    <w:pPr>
      <w:pStyle w:val="Zpat"/>
      <w:rPr>
        <w:sz w:val="2"/>
        <w:szCs w:val="2"/>
      </w:rPr>
    </w:pPr>
  </w:p>
  <w:p w14:paraId="53F277EE" w14:textId="77777777" w:rsidR="00D169FC" w:rsidRDefault="00D169FC" w:rsidP="00757290">
    <w:pPr>
      <w:pStyle w:val="Zpatvlevo"/>
      <w:rPr>
        <w:rFonts w:cs="Calibri"/>
        <w:szCs w:val="12"/>
      </w:rPr>
    </w:pPr>
  </w:p>
  <w:p w14:paraId="17EFC080" w14:textId="77777777" w:rsidR="00D169FC" w:rsidRPr="00460660" w:rsidRDefault="00D169F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D169FC" w:rsidRDefault="00D169FC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D169FC" w:rsidRDefault="00D16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169FC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D169FC" w:rsidRPr="00B8518B" w:rsidRDefault="00D169F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D169FC" w:rsidRDefault="00D169F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D169FC" w:rsidRPr="00D6163D" w:rsidRDefault="00D169FC" w:rsidP="00FC6389">
          <w:pPr>
            <w:pStyle w:val="Druhdokumentu"/>
          </w:pPr>
        </w:p>
      </w:tc>
    </w:tr>
    <w:tr w:rsidR="00D169FC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D169FC" w:rsidRPr="00B8518B" w:rsidRDefault="00D169F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D169FC" w:rsidRDefault="00D169F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D169FC" w:rsidRPr="00D6163D" w:rsidRDefault="00D169FC" w:rsidP="00FC6389">
          <w:pPr>
            <w:pStyle w:val="Druhdokumentu"/>
          </w:pPr>
        </w:p>
      </w:tc>
    </w:tr>
  </w:tbl>
  <w:p w14:paraId="53E85CAA" w14:textId="77777777" w:rsidR="00D169FC" w:rsidRPr="00D6163D" w:rsidRDefault="00D169FC" w:rsidP="00FC6389">
    <w:pPr>
      <w:pStyle w:val="Zhlav"/>
      <w:rPr>
        <w:sz w:val="8"/>
        <w:szCs w:val="8"/>
      </w:rPr>
    </w:pPr>
  </w:p>
  <w:p w14:paraId="1437D3AE" w14:textId="77777777" w:rsidR="00D169FC" w:rsidRPr="00460660" w:rsidRDefault="00D169F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10E79C7"/>
    <w:multiLevelType w:val="hybridMultilevel"/>
    <w:tmpl w:val="4AE6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0903821"/>
    <w:multiLevelType w:val="hybridMultilevel"/>
    <w:tmpl w:val="EC727452"/>
    <w:lvl w:ilvl="0" w:tplc="88AE01D6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318132">
    <w:abstractNumId w:val="6"/>
  </w:num>
  <w:num w:numId="2" w16cid:durableId="257294390">
    <w:abstractNumId w:val="5"/>
  </w:num>
  <w:num w:numId="3" w16cid:durableId="719667861">
    <w:abstractNumId w:val="2"/>
  </w:num>
  <w:num w:numId="4" w16cid:durableId="2056270949">
    <w:abstractNumId w:val="4"/>
  </w:num>
  <w:num w:numId="5" w16cid:durableId="1639142960">
    <w:abstractNumId w:val="8"/>
  </w:num>
  <w:num w:numId="6" w16cid:durableId="1944069687">
    <w:abstractNumId w:val="9"/>
  </w:num>
  <w:num w:numId="7" w16cid:durableId="835847212">
    <w:abstractNumId w:val="10"/>
  </w:num>
  <w:num w:numId="8" w16cid:durableId="778917080">
    <w:abstractNumId w:val="1"/>
  </w:num>
  <w:num w:numId="9" w16cid:durableId="1957134059">
    <w:abstractNumId w:val="4"/>
  </w:num>
  <w:num w:numId="10" w16cid:durableId="1748184778">
    <w:abstractNumId w:val="11"/>
  </w:num>
  <w:num w:numId="11" w16cid:durableId="654720084">
    <w:abstractNumId w:val="0"/>
  </w:num>
  <w:num w:numId="12" w16cid:durableId="1529640073">
    <w:abstractNumId w:val="3"/>
  </w:num>
  <w:num w:numId="13" w16cid:durableId="1143236966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388D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A6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E6BDE"/>
    <w:rsid w:val="000E76A4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74F3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52E1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2F77"/>
    <w:rsid w:val="00217951"/>
    <w:rsid w:val="00223CF2"/>
    <w:rsid w:val="00224E36"/>
    <w:rsid w:val="002275C9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B7DB4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1A97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51ED"/>
    <w:rsid w:val="004378C9"/>
    <w:rsid w:val="00443210"/>
    <w:rsid w:val="00443D42"/>
    <w:rsid w:val="004461DF"/>
    <w:rsid w:val="00450F07"/>
    <w:rsid w:val="00453CD3"/>
    <w:rsid w:val="0045657D"/>
    <w:rsid w:val="00460660"/>
    <w:rsid w:val="0046274E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766C"/>
    <w:rsid w:val="004B4215"/>
    <w:rsid w:val="004B547F"/>
    <w:rsid w:val="004B7823"/>
    <w:rsid w:val="004B7997"/>
    <w:rsid w:val="004C047C"/>
    <w:rsid w:val="004C0596"/>
    <w:rsid w:val="004C05CC"/>
    <w:rsid w:val="004C1240"/>
    <w:rsid w:val="004C2635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559F"/>
    <w:rsid w:val="005A1F44"/>
    <w:rsid w:val="005A499F"/>
    <w:rsid w:val="005A6C0C"/>
    <w:rsid w:val="005B6153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55CB"/>
    <w:rsid w:val="006776B6"/>
    <w:rsid w:val="00677E2F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E5A34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34F"/>
    <w:rsid w:val="00840EA1"/>
    <w:rsid w:val="00846789"/>
    <w:rsid w:val="00854B3C"/>
    <w:rsid w:val="00855188"/>
    <w:rsid w:val="00857510"/>
    <w:rsid w:val="008579F7"/>
    <w:rsid w:val="00857CC5"/>
    <w:rsid w:val="00860F4E"/>
    <w:rsid w:val="00865541"/>
    <w:rsid w:val="00865F5F"/>
    <w:rsid w:val="00872C00"/>
    <w:rsid w:val="008762D7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5BEB"/>
    <w:rsid w:val="008F6AC2"/>
    <w:rsid w:val="008F74E8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4C7D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36E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0DEB"/>
    <w:rsid w:val="00A4561A"/>
    <w:rsid w:val="00A4688C"/>
    <w:rsid w:val="00A47324"/>
    <w:rsid w:val="00A47B7A"/>
    <w:rsid w:val="00A50641"/>
    <w:rsid w:val="00A51ACE"/>
    <w:rsid w:val="00A530BF"/>
    <w:rsid w:val="00A568D2"/>
    <w:rsid w:val="00A570CF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B5C3F"/>
    <w:rsid w:val="00AC3E83"/>
    <w:rsid w:val="00AC41F8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4A31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34ED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3B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65789"/>
    <w:rsid w:val="00C708EA"/>
    <w:rsid w:val="00C711EA"/>
    <w:rsid w:val="00C71821"/>
    <w:rsid w:val="00C73385"/>
    <w:rsid w:val="00C778A5"/>
    <w:rsid w:val="00C85ED3"/>
    <w:rsid w:val="00C86957"/>
    <w:rsid w:val="00C900AC"/>
    <w:rsid w:val="00C94236"/>
    <w:rsid w:val="00C95162"/>
    <w:rsid w:val="00C96F07"/>
    <w:rsid w:val="00C97B3D"/>
    <w:rsid w:val="00CA4259"/>
    <w:rsid w:val="00CA7A7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69FC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031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4A6C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419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4F2F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ypdok.tudc.cz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stavby-zakazky/podklady-pro-zhotovitele/zaborovy-elabora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avlik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ypdok.tu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ypdok@spravazelezni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223CE"/>
    <w:rsid w:val="00641106"/>
    <w:rsid w:val="00673CB7"/>
    <w:rsid w:val="007263AB"/>
    <w:rsid w:val="007A54EE"/>
    <w:rsid w:val="007C04C2"/>
    <w:rsid w:val="007C185D"/>
    <w:rsid w:val="00810311"/>
    <w:rsid w:val="008417F1"/>
    <w:rsid w:val="00872054"/>
    <w:rsid w:val="0088762F"/>
    <w:rsid w:val="00892B7E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719F5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C0EBC4-1C7C-4B68-BF83-BFFBC06C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90</TotalTime>
  <Pages>17</Pages>
  <Words>6291</Words>
  <Characters>37123</Characters>
  <Application>Microsoft Office Word</Application>
  <DocSecurity>0</DocSecurity>
  <Lines>309</Lines>
  <Paragraphs>86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13</cp:revision>
  <cp:lastPrinted>2023-02-06T13:26:00Z</cp:lastPrinted>
  <dcterms:created xsi:type="dcterms:W3CDTF">2023-08-21T09:21:00Z</dcterms:created>
  <dcterms:modified xsi:type="dcterms:W3CDTF">2023-08-25T10:31:00Z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